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olor w:val="000000"/>
          <w:szCs w:val="32"/>
        </w:rPr>
      </w:pPr>
      <w:bookmarkStart w:id="0" w:name="_GoBack"/>
      <w:bookmarkEnd w:id="0"/>
      <w:r>
        <w:rPr>
          <w:rFonts w:hint="eastAsia" w:ascii="黑体" w:hAnsi="黑体" w:eastAsia="黑体"/>
          <w:color w:val="000000"/>
          <w:szCs w:val="32"/>
        </w:rPr>
        <w:t>附件1</w:t>
      </w:r>
    </w:p>
    <w:p>
      <w:pPr>
        <w:spacing w:line="360" w:lineRule="auto"/>
        <w:rPr>
          <w:rFonts w:ascii="黑体" w:hAnsi="黑体" w:eastAsia="黑体"/>
          <w:color w:val="000000"/>
          <w:szCs w:val="32"/>
        </w:rPr>
      </w:pPr>
    </w:p>
    <w:p>
      <w:pPr>
        <w:spacing w:line="360" w:lineRule="auto"/>
        <w:jc w:val="center"/>
        <w:rPr>
          <w:rFonts w:ascii="方正小标宋简体" w:eastAsia="方正小标宋简体"/>
          <w:color w:val="000000"/>
          <w:sz w:val="36"/>
          <w:szCs w:val="36"/>
        </w:rPr>
      </w:pPr>
      <w:r>
        <w:rPr>
          <w:rFonts w:hint="eastAsia" w:ascii="方正小标宋简体" w:eastAsia="方正小标宋简体"/>
          <w:color w:val="000000"/>
          <w:sz w:val="36"/>
          <w:szCs w:val="36"/>
        </w:rPr>
        <w:t>西藏自治区教育行政处罚裁量基准适用规定</w:t>
      </w:r>
    </w:p>
    <w:p>
      <w:pPr>
        <w:adjustRightInd w:val="0"/>
        <w:snapToGrid w:val="0"/>
        <w:spacing w:line="540" w:lineRule="exact"/>
        <w:rPr>
          <w:rFonts w:ascii="仿宋_GB2312"/>
          <w:b/>
          <w:color w:val="000000"/>
          <w:szCs w:val="32"/>
        </w:rPr>
      </w:pPr>
    </w:p>
    <w:p>
      <w:pPr>
        <w:adjustRightInd w:val="0"/>
        <w:snapToGrid w:val="0"/>
        <w:spacing w:line="540" w:lineRule="exact"/>
        <w:ind w:firstLine="642" w:firstLineChars="200"/>
        <w:rPr>
          <w:rFonts w:ascii="仿宋_GB2312"/>
          <w:color w:val="000000"/>
          <w:szCs w:val="32"/>
        </w:rPr>
      </w:pPr>
      <w:r>
        <w:rPr>
          <w:rFonts w:hint="eastAsia" w:ascii="仿宋_GB2312"/>
          <w:b/>
          <w:color w:val="000000"/>
          <w:szCs w:val="32"/>
        </w:rPr>
        <w:t>第一条</w:t>
      </w:r>
      <w:r>
        <w:rPr>
          <w:rFonts w:hint="eastAsia" w:ascii="仿宋_GB2312"/>
          <w:color w:val="000000"/>
          <w:szCs w:val="32"/>
        </w:rPr>
        <w:t xml:space="preserve"> 为贯彻落实《中共中央关于全面推进依法治国若干重大问题的决定》精神，建立行政裁量权基准制度，规范我区教育行政管理行政处罚行为，保障教育行政部门依法行使行政处罚裁量权，根据《中华人民共和国行政处罚法》《区党委依法治藏办关于规范执法行为加快建立完善行政执法裁量基准制度的通知（藏发办〔2020〕10号）》《西藏自治区人民政府办公厅关于进一步做好行政执法裁量权基准制定和管理工作的通知（藏政办法〔2022〕39号）》等有关规定，结合我区教育实际，制定本规定。</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第二条 本规定所称行政处罚裁量基准，是指教育行政执法机关或者依法受委托的组织结合行政执法实践，对法律、法规、规章中的教育行政处罚裁量的适用条件、适用情形予以细化、量化而形成的指导标准。行政处罚裁量基准</w:t>
      </w:r>
      <w:r>
        <w:rPr>
          <w:rFonts w:hint="eastAsia" w:ascii="仿宋_GB2312" w:hAnsi="Helvetica" w:cs="宋体"/>
          <w:color w:val="000000"/>
          <w:kern w:val="0"/>
          <w:szCs w:val="32"/>
        </w:rPr>
        <w:t>不作为行政处罚文书的引用依据。</w:t>
      </w:r>
    </w:p>
    <w:p>
      <w:pPr>
        <w:adjustRightInd w:val="0"/>
        <w:snapToGrid w:val="0"/>
        <w:spacing w:line="540" w:lineRule="exact"/>
        <w:ind w:firstLine="642" w:firstLineChars="200"/>
        <w:rPr>
          <w:rFonts w:ascii="仿宋_GB2312"/>
          <w:color w:val="000000"/>
          <w:szCs w:val="32"/>
        </w:rPr>
      </w:pPr>
      <w:r>
        <w:rPr>
          <w:rFonts w:hint="eastAsia" w:ascii="仿宋_GB2312"/>
          <w:b/>
          <w:color w:val="000000"/>
          <w:szCs w:val="32"/>
        </w:rPr>
        <w:t xml:space="preserve">第三条 </w:t>
      </w:r>
      <w:r>
        <w:rPr>
          <w:rFonts w:hint="eastAsia" w:ascii="仿宋_GB2312"/>
          <w:color w:val="000000"/>
          <w:szCs w:val="32"/>
        </w:rPr>
        <w:t>本规定适用于自治区、地市两级教育行政机关及依法受委托的组织行使教育行政处罚权的裁量。教育行政执法机关及其受托组织应当将制定的裁量权基准印发给执法人员。</w:t>
      </w:r>
    </w:p>
    <w:p>
      <w:pPr>
        <w:pStyle w:val="75"/>
        <w:adjustRightInd w:val="0"/>
        <w:snapToGrid w:val="0"/>
        <w:spacing w:before="0" w:beforeAutospacing="0" w:after="0" w:afterAutospacing="0" w:line="540" w:lineRule="exac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 xml:space="preserve">第四条 </w:t>
      </w:r>
      <w:r>
        <w:rPr>
          <w:rFonts w:hint="eastAsia" w:ascii="仿宋_GB2312" w:eastAsia="仿宋_GB2312"/>
          <w:color w:val="000000"/>
          <w:sz w:val="32"/>
          <w:szCs w:val="32"/>
        </w:rPr>
        <w:t>适用行政处罚裁量基准，应当遵循合法性原则，过罚相当原则，公正、公平、公开原则和处罚与教育相结合原则，做到事实清楚、证据确凿、理由充分、适用法律得当，依法维护公民、法人和其他组织的合法权益。在作出行政执法决定前，行政执法人员应当告知行政相对人有关行政执法的依据、事实和事由并听取行政相对人的陈述申辩。</w:t>
      </w:r>
    </w:p>
    <w:p>
      <w:pPr>
        <w:adjustRightInd w:val="0"/>
        <w:snapToGrid w:val="0"/>
        <w:spacing w:line="540" w:lineRule="exact"/>
        <w:ind w:firstLine="642" w:firstLineChars="200"/>
        <w:rPr>
          <w:rFonts w:ascii="仿宋_GB2312"/>
          <w:color w:val="000000"/>
          <w:szCs w:val="32"/>
        </w:rPr>
      </w:pPr>
      <w:r>
        <w:rPr>
          <w:rFonts w:hint="eastAsia" w:ascii="仿宋_GB2312"/>
          <w:b/>
          <w:color w:val="000000"/>
          <w:szCs w:val="32"/>
        </w:rPr>
        <w:t xml:space="preserve">第五条 </w:t>
      </w:r>
      <w:r>
        <w:rPr>
          <w:rFonts w:hint="eastAsia" w:ascii="仿宋_GB2312"/>
          <w:color w:val="000000"/>
          <w:szCs w:val="32"/>
        </w:rPr>
        <w:t>本规定依据有关</w:t>
      </w:r>
      <w:r>
        <w:rPr>
          <w:rFonts w:hint="eastAsia" w:ascii="仿宋_GB2312" w:hAnsi="Helvetica" w:cs="宋体"/>
          <w:color w:val="000000"/>
          <w:kern w:val="0"/>
          <w:szCs w:val="32"/>
        </w:rPr>
        <w:t>法律、法规、规章，结合</w:t>
      </w:r>
      <w:r>
        <w:rPr>
          <w:rFonts w:hint="eastAsia" w:ascii="仿宋_GB2312"/>
          <w:color w:val="000000"/>
          <w:szCs w:val="32"/>
        </w:rPr>
        <w:t>违法行为的事实、性质、情节及社会危害程度和主观过错等因素，将违法行为分为轻微违法行为、一般违法行为、严重违法行为，其行政处罚分别对应情节轻微、情节一般、情节严重三个基础裁量档次。</w:t>
      </w:r>
    </w:p>
    <w:p>
      <w:pPr>
        <w:adjustRightInd w:val="0"/>
        <w:snapToGrid w:val="0"/>
        <w:spacing w:line="540" w:lineRule="exact"/>
        <w:ind w:firstLine="642" w:firstLineChars="200"/>
        <w:rPr>
          <w:rFonts w:ascii="仿宋_GB2312"/>
          <w:b/>
          <w:color w:val="000000"/>
          <w:szCs w:val="32"/>
        </w:rPr>
      </w:pPr>
      <w:r>
        <w:rPr>
          <w:rFonts w:hint="eastAsia" w:ascii="仿宋_GB2312"/>
          <w:b/>
          <w:color w:val="000000"/>
          <w:szCs w:val="32"/>
        </w:rPr>
        <w:t xml:space="preserve">第六条 </w:t>
      </w:r>
      <w:r>
        <w:rPr>
          <w:rFonts w:hint="eastAsia" w:ascii="仿宋_GB2312"/>
          <w:color w:val="000000"/>
          <w:szCs w:val="32"/>
        </w:rPr>
        <w:t>根据法律、法规、规章对行政处罚的设定，教育行政处罚的具体适用遵循以下规则：</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违法行为情节轻微的，一般适用警告、通报批评、较小数额的罚款等处罚种类。法律、行政法规另有规定的，从其规定。</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违法行为情节一般的，一般适用一般数额罚款等处罚种类。</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违法行为情节严重的，一般适用责令停止招生、撤销招生资格、吊销办学许可证、撤销违法举办的学校和教育机构、限制从业、较大数额的罚款等处罚种类。</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 xml:space="preserve">以上违法行为产生违法所得的，均应当予以没收。 </w:t>
      </w:r>
    </w:p>
    <w:p>
      <w:pPr>
        <w:adjustRightInd w:val="0"/>
        <w:snapToGrid w:val="0"/>
        <w:spacing w:line="540" w:lineRule="exact"/>
        <w:ind w:firstLine="642" w:firstLineChars="200"/>
        <w:rPr>
          <w:rFonts w:ascii="仿宋_GB2312"/>
          <w:color w:val="000000"/>
          <w:szCs w:val="32"/>
        </w:rPr>
      </w:pPr>
      <w:r>
        <w:rPr>
          <w:rFonts w:hint="eastAsia" w:ascii="仿宋_GB2312"/>
          <w:b/>
          <w:color w:val="000000"/>
          <w:szCs w:val="32"/>
        </w:rPr>
        <w:t xml:space="preserve">第七条 </w:t>
      </w:r>
      <w:r>
        <w:rPr>
          <w:rFonts w:hint="eastAsia" w:ascii="仿宋_GB2312"/>
          <w:color w:val="000000"/>
          <w:szCs w:val="32"/>
        </w:rPr>
        <w:t>罚款的适用，应当在法定幅度内按罚款数额比例分为较小数额的罚款、一般数额的罚款、较大数额的罚款。</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适用较小数额罚款的，一般应当在法定幅度的下限以上、不超过总幅度值40%的范围内自由裁量；适用一般数额罚款的，一般应当在法定总幅度值40%至70%的范围内自由裁量；适用较大数额罚款的，一般应当在法定总幅度值70%至法定幅度的上限范围内自由裁量。</w:t>
      </w:r>
    </w:p>
    <w:p>
      <w:pPr>
        <w:adjustRightInd w:val="0"/>
        <w:snapToGrid w:val="0"/>
        <w:spacing w:line="540" w:lineRule="exact"/>
        <w:ind w:firstLine="642" w:firstLineChars="200"/>
        <w:rPr>
          <w:rFonts w:ascii="仿宋_GB2312"/>
          <w:color w:val="000000"/>
          <w:szCs w:val="32"/>
        </w:rPr>
      </w:pPr>
      <w:r>
        <w:rPr>
          <w:rFonts w:hint="eastAsia" w:ascii="仿宋_GB2312"/>
          <w:b/>
          <w:color w:val="000000"/>
          <w:szCs w:val="32"/>
        </w:rPr>
        <w:t>第八条</w:t>
      </w:r>
      <w:r>
        <w:rPr>
          <w:rFonts w:hint="eastAsia" w:ascii="仿宋_GB2312"/>
          <w:color w:val="000000"/>
          <w:szCs w:val="32"/>
        </w:rPr>
        <w:t xml:space="preserve"> 违法行为当事人具有免罚、从轻、减轻、从重情节的，应在</w:t>
      </w:r>
      <w:r>
        <w:rPr>
          <w:rFonts w:hint="eastAsia" w:ascii="仿宋_GB2312"/>
          <w:color w:val="000000"/>
          <w:spacing w:val="-6"/>
          <w:szCs w:val="32"/>
        </w:rPr>
        <w:t>法</w:t>
      </w:r>
      <w:r>
        <w:rPr>
          <w:rFonts w:hint="eastAsia" w:ascii="仿宋_GB2312"/>
          <w:color w:val="000000"/>
          <w:szCs w:val="32"/>
        </w:rPr>
        <w:t>律、法规、规章规定的处罚种类和幅度范围内做出从轻处罚、减轻处罚、从重处罚的行政处罚；同时具有减轻、从轻或从重处罚情节的，综合各情节的比重，依据行政处罚裁量基准，给予相应的处罚。</w:t>
      </w:r>
    </w:p>
    <w:p>
      <w:pPr>
        <w:adjustRightInd w:val="0"/>
        <w:snapToGrid w:val="0"/>
        <w:spacing w:line="540" w:lineRule="exact"/>
        <w:ind w:firstLine="642" w:firstLineChars="200"/>
        <w:rPr>
          <w:rFonts w:ascii="仿宋_GB2312"/>
          <w:color w:val="000000"/>
          <w:szCs w:val="32"/>
        </w:rPr>
      </w:pPr>
      <w:r>
        <w:rPr>
          <w:rFonts w:hint="eastAsia" w:ascii="仿宋_GB2312"/>
          <w:b/>
          <w:color w:val="000000"/>
          <w:szCs w:val="32"/>
        </w:rPr>
        <w:t xml:space="preserve">第九条 </w:t>
      </w:r>
      <w:r>
        <w:rPr>
          <w:rFonts w:hint="eastAsia" w:ascii="仿宋_GB2312"/>
          <w:color w:val="000000"/>
          <w:szCs w:val="32"/>
        </w:rPr>
        <w:t>减轻处罚是指根据查清的当事人的违法事实、性质、情节，在法律、法规、规章规定的处罚幅度以下给予行政处罚。  </w:t>
      </w:r>
    </w:p>
    <w:p>
      <w:pPr>
        <w:widowControl/>
        <w:shd w:val="clear" w:color="auto" w:fill="FFFFFF"/>
        <w:adjustRightInd w:val="0"/>
        <w:snapToGrid w:val="0"/>
        <w:spacing w:line="540" w:lineRule="exact"/>
        <w:ind w:firstLine="640" w:firstLineChars="200"/>
        <w:rPr>
          <w:rFonts w:ascii="仿宋_GB2312"/>
          <w:color w:val="000000"/>
          <w:szCs w:val="32"/>
        </w:rPr>
      </w:pPr>
      <w:r>
        <w:rPr>
          <w:rFonts w:hint="eastAsia" w:ascii="仿宋_GB2312"/>
          <w:color w:val="000000"/>
          <w:szCs w:val="32"/>
        </w:rPr>
        <w:t>从轻处罚是指根据查清的当事人的违法事实、性质、情节，在法律、法规、规章规定的处罚种类和幅度范围内给予较轻的行政处罚。</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从重处罚是指根据查清的当事人的违法事实、性质、情节，在法律、法规、规章规定的处罚种类和幅度范围内给予较重的行政处罚。</w:t>
      </w:r>
    </w:p>
    <w:p>
      <w:pPr>
        <w:adjustRightInd w:val="0"/>
        <w:snapToGrid w:val="0"/>
        <w:spacing w:line="540" w:lineRule="exact"/>
        <w:ind w:firstLine="642" w:firstLineChars="200"/>
        <w:rPr>
          <w:rFonts w:ascii="仿宋_GB2312"/>
          <w:color w:val="000000"/>
          <w:szCs w:val="32"/>
        </w:rPr>
      </w:pPr>
      <w:r>
        <w:rPr>
          <w:rFonts w:hint="eastAsia" w:ascii="仿宋_GB2312"/>
          <w:b/>
          <w:color w:val="000000"/>
          <w:szCs w:val="32"/>
        </w:rPr>
        <w:t xml:space="preserve">第十条 </w:t>
      </w:r>
      <w:r>
        <w:rPr>
          <w:rFonts w:hint="eastAsia" w:ascii="仿宋_GB2312"/>
          <w:color w:val="000000"/>
          <w:szCs w:val="32"/>
        </w:rPr>
        <w:t>违法行为当事人有下列情形之一的，经教育后不予行政处罚：</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（一）违法行为轻微并及时纠正，没有造成危害后果的；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（二）当事人有证据足以证明没有主观过错的（但法律、行政法规另有规定的，从其规定）；</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（三）不满十四周岁的；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（四）精神病人、智力残疾人在不能辨认或者不能控制自己行为时有违法行为的；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（五）</w:t>
      </w:r>
      <w:r>
        <w:rPr>
          <w:rFonts w:hint="eastAsia" w:ascii="仿宋_GB2312" w:cs="宋体"/>
          <w:color w:val="000000"/>
          <w:szCs w:val="32"/>
        </w:rPr>
        <w:t>违法行为在二年内未被发现的，但涉及公民生命健康安全、金融安全且有危害后果的，上述期限延长至五年，法律另有规定的除外；</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（六）其他依法不予行政处罚的。</w:t>
      </w:r>
      <w:r>
        <w:rPr>
          <w:rFonts w:hint="eastAsia" w:ascii="仿宋_GB2312"/>
          <w:color w:val="000000"/>
          <w:szCs w:val="32"/>
        </w:rPr>
        <w:tab/>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初次违法且危害后果轻微并及时改正的，可以不予行政处罚。</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对当事人的违法行为依法不予行政处罚的，教育行政机关应当对当事人进行教育。</w:t>
      </w:r>
    </w:p>
    <w:p>
      <w:pPr>
        <w:adjustRightInd w:val="0"/>
        <w:snapToGrid w:val="0"/>
        <w:spacing w:line="540" w:lineRule="exact"/>
        <w:ind w:firstLine="642" w:firstLineChars="200"/>
        <w:rPr>
          <w:rFonts w:ascii="仿宋_GB2312"/>
          <w:color w:val="000000"/>
          <w:szCs w:val="32"/>
        </w:rPr>
      </w:pPr>
      <w:r>
        <w:rPr>
          <w:rFonts w:hint="eastAsia" w:ascii="仿宋_GB2312"/>
          <w:b/>
          <w:color w:val="000000"/>
          <w:szCs w:val="32"/>
        </w:rPr>
        <w:t xml:space="preserve">第十一条 </w:t>
      </w:r>
      <w:r>
        <w:rPr>
          <w:rFonts w:hint="eastAsia" w:ascii="仿宋_GB2312"/>
          <w:color w:val="000000"/>
          <w:szCs w:val="32"/>
        </w:rPr>
        <w:t>违法行为当事人有下列情形之一的，经教育后从轻或减轻行政处罚：</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（一）已满十四周岁、不满十八周岁的；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（二）尚未完全丧失辨认或者控制自己行为能力的精神病人、智力残疾人有违法行为的；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（三）主动消除或者减轻违法行为危害后果的；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（四）受他人胁迫或者诱骗实施违法行为的；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（五）主动供述行政执法部门尚未掌握的违法行为的；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（六）配合行政执法部门查处违法行为有立功表现的；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（七）法律、法规、规章规定的其他应当从轻或者减轻行政处罚的。</w:t>
      </w:r>
    </w:p>
    <w:p>
      <w:pPr>
        <w:adjustRightInd w:val="0"/>
        <w:snapToGrid w:val="0"/>
        <w:spacing w:line="540" w:lineRule="exact"/>
        <w:ind w:firstLine="642" w:firstLineChars="200"/>
        <w:rPr>
          <w:rFonts w:ascii="仿宋_GB2312"/>
          <w:color w:val="000000"/>
          <w:szCs w:val="32"/>
        </w:rPr>
      </w:pPr>
      <w:r>
        <w:rPr>
          <w:rFonts w:hint="eastAsia" w:ascii="仿宋_GB2312"/>
          <w:b/>
          <w:color w:val="000000"/>
          <w:szCs w:val="32"/>
        </w:rPr>
        <w:t xml:space="preserve">第十二条 </w:t>
      </w:r>
      <w:r>
        <w:rPr>
          <w:rFonts w:hint="eastAsia" w:ascii="仿宋_GB2312"/>
          <w:color w:val="000000"/>
          <w:szCs w:val="32"/>
        </w:rPr>
        <w:t>违法行为当事人有下列情形之一的，从重行政处罚：</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（一）实施危及公共安全、公共利益、人身生命安全违法行为并造成严重后果或不良社会影响的；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（二）严重扰乱社会主义市场经济秩序，违法情节恶劣，群众反映强烈，造成严重后果的；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（三）在发生突发公共事件时实施违法行为的；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（四）故意隐瞒事实，弄虚作假、隐匿、销毁违法证据或者有其他妨碍执法行为的；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（五）在有重大社会影响的活动中或在专项治理活动中实施违法行为的；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（六）屡教不改、多次实施违法行为，或者违反两个以上法律规范的；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（七）违法数额较大的；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（八）不听劝阻，继续实施违法行为或在限期内拒不采取补救措施的；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（九）胁迫、诱骗、教唆他人实施违法行为的；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（十）共同实施违法行为中起主要作用的；</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（十一）其他应当依法从重处罚的行为。</w:t>
      </w:r>
    </w:p>
    <w:p>
      <w:pPr>
        <w:adjustRightInd w:val="0"/>
        <w:snapToGrid w:val="0"/>
        <w:spacing w:line="540" w:lineRule="exact"/>
        <w:ind w:firstLine="642" w:firstLineChars="200"/>
        <w:rPr>
          <w:rFonts w:ascii="仿宋_GB2312"/>
          <w:color w:val="000000"/>
          <w:szCs w:val="32"/>
        </w:rPr>
      </w:pPr>
      <w:r>
        <w:rPr>
          <w:rFonts w:hint="eastAsia" w:ascii="仿宋_GB2312"/>
          <w:b/>
          <w:color w:val="000000"/>
          <w:szCs w:val="32"/>
        </w:rPr>
        <w:t>第十三条</w:t>
      </w:r>
      <w:r>
        <w:rPr>
          <w:rFonts w:hint="eastAsia" w:ascii="仿宋_GB2312"/>
          <w:color w:val="000000"/>
          <w:szCs w:val="32"/>
        </w:rPr>
        <w:t xml:space="preserve"> 除法律、法规和规章另有规定外，当事人具有多种违法行为情节的，按照以下规则实施处罚：</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（一）具有两个或者两个以上从轻情节且不具有从重情节的，可按最低处罚幅度实施处罚；</w:t>
      </w:r>
    </w:p>
    <w:p>
      <w:pPr>
        <w:adjustRightInd w:val="0"/>
        <w:snapToGrid w:val="0"/>
        <w:spacing w:line="540" w:lineRule="exact"/>
        <w:ind w:firstLine="640" w:firstLineChars="200"/>
        <w:rPr>
          <w:rFonts w:ascii="仿宋_GB2312"/>
          <w:bCs/>
          <w:color w:val="000000"/>
          <w:szCs w:val="32"/>
        </w:rPr>
      </w:pPr>
      <w:r>
        <w:rPr>
          <w:rFonts w:hint="eastAsia" w:ascii="仿宋_GB2312" w:hAnsi="宋体" w:cs="宋体"/>
          <w:color w:val="000000"/>
          <w:kern w:val="0"/>
          <w:szCs w:val="32"/>
        </w:rPr>
        <w:t>（二）具有两个或者两个以上从重情节且不具有减轻、从轻情节的，可按最高处罚幅度实施处罚。</w:t>
      </w:r>
    </w:p>
    <w:p>
      <w:pPr>
        <w:adjustRightInd w:val="0"/>
        <w:snapToGrid w:val="0"/>
        <w:spacing w:line="540" w:lineRule="exact"/>
        <w:ind w:firstLine="642" w:firstLineChars="200"/>
        <w:rPr>
          <w:rFonts w:ascii="仿宋_GB2312"/>
          <w:color w:val="000000"/>
          <w:szCs w:val="32"/>
          <w:highlight w:val="red"/>
        </w:rPr>
      </w:pPr>
      <w:r>
        <w:rPr>
          <w:rFonts w:hint="eastAsia" w:ascii="仿宋_GB2312"/>
          <w:b/>
          <w:color w:val="000000"/>
          <w:szCs w:val="32"/>
        </w:rPr>
        <w:t>第十四条</w:t>
      </w:r>
      <w:r>
        <w:rPr>
          <w:rFonts w:hint="eastAsia" w:ascii="仿宋_GB2312"/>
          <w:color w:val="000000"/>
          <w:szCs w:val="32"/>
        </w:rPr>
        <w:t xml:space="preserve"> 法律、法规、规章未规定裁量幅度的，直接依据相关规定实施行政处罚，无需划分裁量阶次。</w:t>
      </w:r>
    </w:p>
    <w:p>
      <w:pPr>
        <w:adjustRightInd w:val="0"/>
        <w:snapToGrid w:val="0"/>
        <w:spacing w:line="540" w:lineRule="exact"/>
        <w:ind w:firstLine="642" w:firstLineChars="200"/>
        <w:rPr>
          <w:rFonts w:ascii="仿宋_GB2312"/>
          <w:color w:val="000000"/>
          <w:szCs w:val="32"/>
        </w:rPr>
      </w:pPr>
      <w:r>
        <w:rPr>
          <w:rFonts w:hint="eastAsia" w:ascii="仿宋_GB2312"/>
          <w:b/>
          <w:color w:val="000000"/>
          <w:szCs w:val="32"/>
        </w:rPr>
        <w:t>第十五条</w:t>
      </w:r>
      <w:r>
        <w:rPr>
          <w:rFonts w:hint="eastAsia" w:ascii="仿宋_GB2312"/>
          <w:color w:val="000000"/>
          <w:szCs w:val="32"/>
        </w:rPr>
        <w:t xml:space="preserve"> 适用教育行政处罚裁量基准应当根据法律目的，全面考虑、衡量违法事实、性质、情节及社会危害程度等相关因素，排除不相关因素的干扰；对违法事实、性质、情节及社会危害程度等因素基本相同的同类行政违法行为，所适用的法律依据、处罚种类和幅度应当基本相同。</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法律、法规、规章规定的处罚种类可以单处也可以并处的，可以视情况选择适用，但应当分清主罚项和次罚项；规定应当并处的，不得选择适用单处。</w:t>
      </w:r>
    </w:p>
    <w:p>
      <w:pPr>
        <w:adjustRightInd w:val="0"/>
        <w:snapToGrid w:val="0"/>
        <w:spacing w:line="540" w:lineRule="exact"/>
        <w:ind w:firstLine="642" w:firstLineChars="200"/>
        <w:rPr>
          <w:rFonts w:ascii="仿宋_GB2312"/>
          <w:color w:val="000000"/>
          <w:szCs w:val="32"/>
        </w:rPr>
      </w:pPr>
      <w:r>
        <w:rPr>
          <w:rFonts w:hint="eastAsia" w:ascii="仿宋_GB2312"/>
          <w:b/>
          <w:color w:val="000000"/>
          <w:szCs w:val="32"/>
        </w:rPr>
        <w:t>第十六条</w:t>
      </w:r>
      <w:r>
        <w:rPr>
          <w:rFonts w:hint="eastAsia" w:ascii="仿宋_GB2312"/>
          <w:color w:val="000000"/>
          <w:szCs w:val="32"/>
        </w:rPr>
        <w:t xml:space="preserve"> 同一违法行为违反了不同法律规范，在适用法律时应当遵循下列顺序原则：</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（一）效力层次高的法律规范优先适用；</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（二）法律规范效力相同，有特别规定的优先适用；</w:t>
      </w:r>
    </w:p>
    <w:p>
      <w:pPr>
        <w:adjustRightInd w:val="0"/>
        <w:snapToGrid w:val="0"/>
        <w:spacing w:line="540" w:lineRule="exact"/>
        <w:ind w:firstLine="640" w:firstLineChars="200"/>
        <w:rPr>
          <w:rFonts w:ascii="仿宋_GB2312"/>
          <w:color w:val="000000"/>
          <w:szCs w:val="32"/>
        </w:rPr>
      </w:pPr>
      <w:r>
        <w:rPr>
          <w:rFonts w:hint="eastAsia" w:ascii="仿宋_GB2312"/>
          <w:color w:val="000000"/>
          <w:szCs w:val="32"/>
        </w:rPr>
        <w:t>（三）法律规范效力相同，生效时间在后的优先适用。</w:t>
      </w:r>
    </w:p>
    <w:p>
      <w:pPr>
        <w:adjustRightInd w:val="0"/>
        <w:snapToGrid w:val="0"/>
        <w:spacing w:line="540" w:lineRule="exact"/>
        <w:ind w:firstLine="645"/>
        <w:rPr>
          <w:rFonts w:ascii="仿宋_GB2312" w:hAnsi="宋体" w:cs="宋体"/>
          <w:color w:val="000000"/>
          <w:kern w:val="0"/>
          <w:szCs w:val="32"/>
        </w:rPr>
      </w:pPr>
      <w:r>
        <w:rPr>
          <w:rFonts w:hint="eastAsia" w:ascii="仿宋_GB2312"/>
          <w:b/>
          <w:bCs/>
          <w:color w:val="000000"/>
          <w:szCs w:val="32"/>
        </w:rPr>
        <w:t>第十七条</w:t>
      </w:r>
      <w:r>
        <w:rPr>
          <w:rFonts w:hint="eastAsia" w:ascii="仿宋_GB2312" w:hAnsi="宋体" w:cs="宋体"/>
          <w:color w:val="000000"/>
          <w:kern w:val="0"/>
          <w:szCs w:val="32"/>
        </w:rPr>
        <w:t xml:space="preserve"> 具有下列情形之一的，不得对当事人同一违法行为给予两次以上罚款的处罚：</w:t>
      </w:r>
    </w:p>
    <w:p>
      <w:pPr>
        <w:adjustRightInd w:val="0"/>
        <w:snapToGrid w:val="0"/>
        <w:spacing w:line="540" w:lineRule="exact"/>
        <w:ind w:firstLine="645"/>
        <w:rPr>
          <w:rFonts w:ascii="仿宋_GB2312" w:hAnsi="宋体" w:cs="宋体"/>
          <w:color w:val="000000"/>
          <w:kern w:val="0"/>
          <w:szCs w:val="32"/>
        </w:rPr>
      </w:pPr>
      <w:r>
        <w:rPr>
          <w:rFonts w:hint="eastAsia" w:ascii="仿宋_GB2312" w:hAnsi="宋体" w:cs="宋体"/>
          <w:color w:val="000000"/>
          <w:kern w:val="0"/>
          <w:szCs w:val="32"/>
        </w:rPr>
        <w:t>（一）同一违法行为违反教育行政处罚实施机关执行的同一法律、法规和规章规定的，同一法律、法规和规章均设定罚款的行政处罚的；</w:t>
      </w:r>
    </w:p>
    <w:p>
      <w:pPr>
        <w:adjustRightInd w:val="0"/>
        <w:snapToGrid w:val="0"/>
        <w:spacing w:line="540" w:lineRule="exact"/>
        <w:ind w:firstLine="645"/>
        <w:rPr>
          <w:rFonts w:ascii="仿宋_GB2312" w:hAnsi="宋体" w:cs="宋体"/>
          <w:color w:val="000000"/>
          <w:kern w:val="0"/>
          <w:szCs w:val="32"/>
        </w:rPr>
      </w:pPr>
      <w:r>
        <w:rPr>
          <w:rFonts w:hint="eastAsia" w:ascii="仿宋_GB2312" w:hAnsi="宋体" w:cs="宋体"/>
          <w:color w:val="000000"/>
          <w:kern w:val="0"/>
          <w:szCs w:val="32"/>
        </w:rPr>
        <w:t>（二）同一违法行为违反教育行政处罚实施机关执行的不同法律、法规和规章规定的，不同法律、法规和规章均设定罚款的行政处罚的；</w:t>
      </w:r>
    </w:p>
    <w:p>
      <w:pPr>
        <w:adjustRightInd w:val="0"/>
        <w:snapToGrid w:val="0"/>
        <w:spacing w:line="540" w:lineRule="exact"/>
        <w:ind w:firstLine="645"/>
        <w:rPr>
          <w:rFonts w:ascii="仿宋_GB2312" w:hAnsi="宋体" w:cs="宋体"/>
          <w:color w:val="000000"/>
          <w:kern w:val="0"/>
          <w:szCs w:val="32"/>
        </w:rPr>
      </w:pPr>
      <w:r>
        <w:rPr>
          <w:rFonts w:hint="eastAsia" w:ascii="仿宋_GB2312" w:hAnsi="宋体" w:cs="宋体"/>
          <w:color w:val="000000"/>
          <w:kern w:val="0"/>
          <w:szCs w:val="32"/>
        </w:rPr>
        <w:t>（三）同一违法行为违反不同行政处罚实施机关执行的同一法律、法规和规章规定的，其他行政处罚实施机关依据规定已经给予罚款的行政处罚后，教育行政处罚实施机关不得依据相同规定再次给予罚款的行政处罚。</w:t>
      </w:r>
    </w:p>
    <w:p>
      <w:pPr>
        <w:adjustRightInd w:val="0"/>
        <w:snapToGrid w:val="0"/>
        <w:spacing w:line="540" w:lineRule="exact"/>
        <w:ind w:firstLine="645"/>
        <w:rPr>
          <w:rFonts w:ascii="仿宋_GB2312" w:hAnsi="宋体" w:cs="宋体"/>
          <w:color w:val="000000"/>
          <w:kern w:val="0"/>
          <w:szCs w:val="32"/>
        </w:rPr>
      </w:pPr>
      <w:r>
        <w:rPr>
          <w:rFonts w:hint="eastAsia" w:ascii="仿宋_GB2312" w:hAnsi="宋体" w:cs="宋体"/>
          <w:color w:val="000000"/>
          <w:kern w:val="0"/>
          <w:szCs w:val="32"/>
        </w:rPr>
        <w:t>同一违法行为违反多个法律规范应当给予罚款处罚的，按照罚款数额高的规定处罚。</w:t>
      </w:r>
    </w:p>
    <w:p>
      <w:pPr>
        <w:adjustRightInd w:val="0"/>
        <w:snapToGrid w:val="0"/>
        <w:spacing w:line="540" w:lineRule="exact"/>
        <w:ind w:firstLine="642" w:firstLineChars="200"/>
        <w:rPr>
          <w:rFonts w:ascii="仿宋_GB2312" w:hAnsi="宋体" w:cs="宋体"/>
          <w:color w:val="000000"/>
          <w:kern w:val="0"/>
          <w:szCs w:val="32"/>
        </w:rPr>
      </w:pPr>
      <w:r>
        <w:rPr>
          <w:rFonts w:hint="eastAsia" w:ascii="仿宋_GB2312"/>
          <w:b/>
          <w:bCs/>
          <w:color w:val="000000"/>
          <w:szCs w:val="32"/>
        </w:rPr>
        <w:t>第十八条</w:t>
      </w:r>
      <w:r>
        <w:rPr>
          <w:rFonts w:hint="eastAsia" w:ascii="仿宋_GB2312" w:hAnsi="宋体" w:cs="宋体"/>
          <w:color w:val="000000"/>
          <w:kern w:val="0"/>
          <w:szCs w:val="32"/>
        </w:rPr>
        <w:t xml:space="preserve"> 教育行政处罚实施机关应当依法全面、客观收集适用行政处罚裁量基准的有关证据；在案件调查报告中，提出是否给予处罚、给予何种处罚以及给予何种幅度处罚的建议，并说明相应的事实、理由和依据。</w:t>
      </w:r>
    </w:p>
    <w:p>
      <w:pPr>
        <w:adjustRightInd w:val="0"/>
        <w:snapToGrid w:val="0"/>
        <w:spacing w:line="540" w:lineRule="exact"/>
        <w:ind w:firstLine="642" w:firstLineChars="200"/>
        <w:rPr>
          <w:rFonts w:ascii="仿宋_GB2312" w:hAnsi="宋体" w:cs="宋体"/>
          <w:color w:val="000000"/>
          <w:kern w:val="0"/>
          <w:szCs w:val="32"/>
        </w:rPr>
      </w:pPr>
      <w:r>
        <w:rPr>
          <w:rFonts w:hint="eastAsia" w:ascii="仿宋_GB2312"/>
          <w:b/>
          <w:color w:val="000000"/>
          <w:szCs w:val="32"/>
        </w:rPr>
        <w:t>第十九条</w:t>
      </w:r>
      <w:r>
        <w:rPr>
          <w:rFonts w:hint="eastAsia" w:ascii="仿宋_GB2312" w:hAnsi="宋体" w:cs="宋体"/>
          <w:color w:val="000000"/>
          <w:kern w:val="0"/>
          <w:szCs w:val="32"/>
        </w:rPr>
        <w:t xml:space="preserve"> 教育行政处罚实施机关实施处罚，不得出现下列情形：</w:t>
      </w:r>
    </w:p>
    <w:p>
      <w:pPr>
        <w:adjustRightInd w:val="0"/>
        <w:snapToGrid w:val="0"/>
        <w:spacing w:line="54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（一）依法应当对当事人不予处罚的，仍实施处罚；</w:t>
      </w:r>
    </w:p>
    <w:p>
      <w:pPr>
        <w:adjustRightInd w:val="0"/>
        <w:snapToGrid w:val="0"/>
        <w:spacing w:line="54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（二）依法应当对当事人从轻或者减轻处罚的，未予从轻或者减轻处罚；</w:t>
      </w:r>
    </w:p>
    <w:p>
      <w:pPr>
        <w:adjustRightInd w:val="0"/>
        <w:snapToGrid w:val="0"/>
        <w:spacing w:line="540" w:lineRule="exact"/>
        <w:ind w:firstLine="640" w:firstLineChars="200"/>
        <w:rPr>
          <w:rFonts w:ascii="仿宋_GB2312" w:hAnsi="宋体" w:cs="宋体"/>
          <w:color w:val="000000"/>
          <w:kern w:val="0"/>
          <w:szCs w:val="32"/>
        </w:rPr>
      </w:pPr>
      <w:r>
        <w:rPr>
          <w:rFonts w:hint="eastAsia" w:ascii="仿宋_GB2312" w:hAnsi="宋体" w:cs="宋体"/>
          <w:color w:val="000000"/>
          <w:kern w:val="0"/>
          <w:szCs w:val="32"/>
        </w:rPr>
        <w:t>（三）在同类案件中，不同当事人的违法行为的事实、性质、情节以及社会危害程度相同或者基本相同，但所受处罚明显不同。</w:t>
      </w:r>
    </w:p>
    <w:p>
      <w:pPr>
        <w:widowControl/>
        <w:shd w:val="clear" w:color="auto" w:fill="FFFFFF"/>
        <w:adjustRightInd w:val="0"/>
        <w:snapToGrid w:val="0"/>
        <w:spacing w:line="540" w:lineRule="exact"/>
        <w:ind w:firstLine="709" w:firstLineChars="221"/>
        <w:rPr>
          <w:rFonts w:hint="eastAsia" w:ascii="仿宋_GB2312"/>
          <w:color w:val="000000"/>
          <w:szCs w:val="32"/>
        </w:rPr>
      </w:pPr>
      <w:r>
        <w:rPr>
          <w:rFonts w:hint="eastAsia" w:ascii="仿宋_GB2312"/>
          <w:b/>
          <w:color w:val="000000"/>
          <w:szCs w:val="32"/>
        </w:rPr>
        <w:t>第二十条</w:t>
      </w:r>
      <w:r>
        <w:rPr>
          <w:rFonts w:hint="eastAsia" w:ascii="仿宋_GB2312"/>
          <w:color w:val="000000"/>
          <w:szCs w:val="32"/>
        </w:rPr>
        <w:t xml:space="preserve"> 本规定是以现行有效的法律、法规、规章为依据，针对部分常见的教育行政违法行为制定的行政处罚裁量基准适用规则。其他未在本规定中列明的行政处罚事项，由执法部门结合实际，按照《行政处罚法》等有关规定，依据本规定的精神进行裁量。适用本规定引起的争议，由西藏自治区教育厅负责解释。</w:t>
      </w:r>
    </w:p>
    <w:p>
      <w:pPr>
        <w:widowControl/>
        <w:shd w:val="clear" w:color="auto" w:fill="FFFFFF"/>
        <w:adjustRightInd w:val="0"/>
        <w:snapToGrid w:val="0"/>
        <w:spacing w:line="540" w:lineRule="exact"/>
        <w:ind w:firstLine="709" w:firstLineChars="221"/>
        <w:rPr>
          <w:rFonts w:hint="eastAsia" w:ascii="仿宋_GB2312"/>
          <w:color w:val="000000"/>
          <w:szCs w:val="32"/>
        </w:rPr>
      </w:pPr>
      <w:r>
        <w:rPr>
          <w:rFonts w:hint="eastAsia" w:ascii="仿宋_GB2312"/>
          <w:b/>
          <w:bCs/>
          <w:color w:val="000000"/>
          <w:szCs w:val="32"/>
        </w:rPr>
        <w:t>本规定自印发之日起施行。</w:t>
      </w: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sz w:val="28"/>
          <w:szCs w:val="28"/>
        </w:rPr>
        <w:sectPr>
          <w:headerReference r:id="rId3" w:type="default"/>
          <w:footerReference r:id="rId4" w:type="default"/>
          <w:footerReference r:id="rId5" w:type="even"/>
          <w:pgSz w:w="11906" w:h="16838"/>
          <w:pgMar w:top="1814" w:right="1531" w:bottom="1814" w:left="1531" w:header="851" w:footer="992" w:gutter="0"/>
          <w:cols w:space="720" w:num="1"/>
          <w:docGrid w:linePitch="312" w:charSpace="0"/>
        </w:sectPr>
      </w:pPr>
    </w:p>
    <w:p>
      <w:pPr>
        <w:tabs>
          <w:tab w:val="left" w:pos="2552"/>
        </w:tabs>
        <w:spacing w:line="560" w:lineRule="exact"/>
        <w:rPr>
          <w:rFonts w:ascii="黑体" w:hAnsi="黑体" w:eastAsia="黑体"/>
          <w:color w:val="000000"/>
          <w:szCs w:val="32"/>
        </w:rPr>
      </w:pPr>
      <w:r>
        <w:rPr>
          <w:rFonts w:hint="eastAsia" w:ascii="黑体" w:hAnsi="黑体" w:eastAsia="黑体"/>
          <w:color w:val="000000"/>
          <w:szCs w:val="32"/>
        </w:rPr>
        <w:t>附件</w:t>
      </w:r>
      <w:r>
        <w:rPr>
          <w:rFonts w:ascii="黑体" w:hAnsi="黑体" w:eastAsia="黑体"/>
          <w:color w:val="000000"/>
          <w:szCs w:val="32"/>
        </w:rPr>
        <w:t>2</w:t>
      </w:r>
    </w:p>
    <w:p>
      <w:pPr>
        <w:spacing w:line="560" w:lineRule="exact"/>
        <w:jc w:val="center"/>
        <w:rPr>
          <w:rFonts w:ascii="方正小标宋简体" w:eastAsia="方正小标宋简体"/>
          <w:color w:val="000000"/>
          <w:sz w:val="38"/>
          <w:szCs w:val="38"/>
        </w:rPr>
      </w:pPr>
      <w:r>
        <w:rPr>
          <w:rFonts w:hint="eastAsia" w:ascii="方正小标宋简体" w:eastAsia="方正小标宋简体"/>
          <w:color w:val="000000"/>
          <w:sz w:val="38"/>
          <w:szCs w:val="38"/>
        </w:rPr>
        <w:t>西藏自治区教育厅关于教育行政处罚的裁量基准（2023年版）</w:t>
      </w:r>
    </w:p>
    <w:p>
      <w:pPr>
        <w:spacing w:line="360" w:lineRule="auto"/>
        <w:jc w:val="center"/>
        <w:rPr>
          <w:rFonts w:ascii="黑体" w:eastAsia="黑体"/>
          <w:szCs w:val="32"/>
        </w:rPr>
      </w:pPr>
      <w:r>
        <w:rPr>
          <w:rFonts w:hint="eastAsia" w:ascii="黑体" w:eastAsia="黑体"/>
          <w:szCs w:val="32"/>
        </w:rPr>
        <w:t>（一）综合类</w:t>
      </w:r>
    </w:p>
    <w:p>
      <w:pPr>
        <w:adjustRightInd w:val="0"/>
        <w:snapToGrid w:val="0"/>
        <w:spacing w:line="560" w:lineRule="exact"/>
        <w:ind w:firstLine="280" w:firstLineChars="100"/>
        <w:rPr>
          <w:rFonts w:hint="eastAsia"/>
          <w:sz w:val="28"/>
          <w:szCs w:val="28"/>
        </w:rPr>
      </w:pPr>
    </w:p>
    <w:tbl>
      <w:tblPr>
        <w:tblStyle w:val="82"/>
        <w:tblW w:w="1414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143"/>
        <w:gridCol w:w="5269"/>
        <w:gridCol w:w="2991"/>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2" w:type="dxa"/>
            <w:noWrap/>
            <w:vAlign w:val="center"/>
          </w:tcPr>
          <w:p>
            <w:pPr>
              <w:adjustRightInd w:val="0"/>
              <w:snapToGrid w:val="0"/>
              <w:jc w:val="center"/>
              <w:rPr>
                <w:rFonts w:hint="eastAsia" w:ascii="仿宋_GB2312"/>
                <w:b/>
                <w:sz w:val="24"/>
              </w:rPr>
            </w:pPr>
            <w:r>
              <w:rPr>
                <w:rFonts w:hint="eastAsia" w:ascii="仿宋_GB2312"/>
                <w:b/>
                <w:sz w:val="24"/>
              </w:rPr>
              <w:t>序号</w:t>
            </w:r>
          </w:p>
        </w:tc>
        <w:tc>
          <w:tcPr>
            <w:tcW w:w="2143" w:type="dxa"/>
            <w:noWrap/>
            <w:vAlign w:val="center"/>
          </w:tcPr>
          <w:p>
            <w:pPr>
              <w:adjustRightInd w:val="0"/>
              <w:snapToGrid w:val="0"/>
              <w:jc w:val="center"/>
              <w:rPr>
                <w:rFonts w:hint="eastAsia" w:ascii="仿宋_GB2312"/>
                <w:b/>
                <w:sz w:val="24"/>
              </w:rPr>
            </w:pPr>
            <w:r>
              <w:rPr>
                <w:rFonts w:hint="eastAsia" w:ascii="仿宋_GB2312"/>
                <w:b/>
                <w:sz w:val="24"/>
              </w:rPr>
              <w:t>违法行为</w:t>
            </w:r>
          </w:p>
        </w:tc>
        <w:tc>
          <w:tcPr>
            <w:tcW w:w="5269" w:type="dxa"/>
            <w:noWrap/>
            <w:vAlign w:val="center"/>
          </w:tcPr>
          <w:p>
            <w:pPr>
              <w:adjustRightInd w:val="0"/>
              <w:snapToGrid w:val="0"/>
              <w:jc w:val="center"/>
              <w:rPr>
                <w:rFonts w:hint="eastAsia" w:ascii="仿宋_GB2312"/>
                <w:b/>
                <w:sz w:val="24"/>
              </w:rPr>
            </w:pPr>
            <w:r>
              <w:rPr>
                <w:rFonts w:hint="eastAsia" w:ascii="仿宋_GB2312"/>
                <w:b/>
                <w:sz w:val="24"/>
              </w:rPr>
              <w:t>行政处罚法律依据</w:t>
            </w:r>
          </w:p>
        </w:tc>
        <w:tc>
          <w:tcPr>
            <w:tcW w:w="2991" w:type="dxa"/>
            <w:noWrap/>
            <w:vAlign w:val="center"/>
          </w:tcPr>
          <w:p>
            <w:pPr>
              <w:adjustRightInd w:val="0"/>
              <w:snapToGrid w:val="0"/>
              <w:ind w:firstLine="72" w:firstLineChars="30"/>
              <w:jc w:val="center"/>
              <w:rPr>
                <w:rFonts w:hint="eastAsia" w:ascii="仿宋_GB2312"/>
                <w:b/>
                <w:sz w:val="24"/>
              </w:rPr>
            </w:pPr>
            <w:r>
              <w:rPr>
                <w:rFonts w:hint="eastAsia" w:ascii="仿宋_GB2312" w:hAnsi="宋体" w:cs="宋体"/>
                <w:b/>
                <w:bCs/>
                <w:color w:val="000000"/>
                <w:kern w:val="0"/>
                <w:sz w:val="24"/>
              </w:rPr>
              <w:t>违法情节</w:t>
            </w:r>
          </w:p>
        </w:tc>
        <w:tc>
          <w:tcPr>
            <w:tcW w:w="3136" w:type="dxa"/>
            <w:noWrap/>
            <w:vAlign w:val="center"/>
          </w:tcPr>
          <w:p>
            <w:pPr>
              <w:adjustRightInd w:val="0"/>
              <w:snapToGrid w:val="0"/>
              <w:jc w:val="center"/>
              <w:rPr>
                <w:rFonts w:hint="eastAsia" w:ascii="仿宋_GB2312"/>
                <w:b/>
                <w:sz w:val="24"/>
              </w:rPr>
            </w:pPr>
            <w:r>
              <w:rPr>
                <w:rFonts w:hint="eastAsia" w:ascii="仿宋_GB2312"/>
                <w:b/>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02" w:type="dxa"/>
            <w:noWrap/>
            <w:vAlign w:val="center"/>
          </w:tcPr>
          <w:p>
            <w:pPr>
              <w:adjustRightInd w:val="0"/>
              <w:snapToGrid w:val="0"/>
              <w:jc w:val="center"/>
              <w:rPr>
                <w:rFonts w:hint="eastAsia" w:ascii="仿宋_GB2312"/>
                <w:b/>
                <w:szCs w:val="21"/>
              </w:rPr>
            </w:pPr>
            <w:r>
              <w:rPr>
                <w:rFonts w:hint="eastAsia" w:ascii="仿宋_GB2312"/>
                <w:b/>
                <w:sz w:val="21"/>
                <w:szCs w:val="21"/>
              </w:rPr>
              <w:t>1</w:t>
            </w:r>
          </w:p>
        </w:tc>
        <w:tc>
          <w:tcPr>
            <w:tcW w:w="2143" w:type="dxa"/>
            <w:noWrap/>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违反国家有关规定举办学校或者其他教育机构的行为</w:t>
            </w:r>
          </w:p>
        </w:tc>
        <w:tc>
          <w:tcPr>
            <w:tcW w:w="5269" w:type="dxa"/>
            <w:noWrap/>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中华人民共和国教育法》第七十五条：违反国家有关规定，举办学校或者其他教育机构的，由教育行政部门或者其他有关行政部门予以撤销；有违法所得的，没收违法所得；对直接负责的主管人员和其他直接责任人员，依法给予处分。</w:t>
            </w:r>
            <w:r>
              <w:rPr>
                <w:rFonts w:eastAsia="仿宋_GB2312" w:cs="宋体"/>
                <w:sz w:val="21"/>
                <w:szCs w:val="21"/>
              </w:rPr>
              <w:t> </w:t>
            </w:r>
          </w:p>
          <w:p>
            <w:pPr>
              <w:pStyle w:val="347"/>
              <w:widowControl/>
              <w:adjustRightInd w:val="0"/>
              <w:snapToGrid w:val="0"/>
              <w:spacing w:beforeAutospacing="0" w:afterAutospacing="0" w:line="300" w:lineRule="exact"/>
              <w:textAlignment w:val="center"/>
              <w:rPr>
                <w:rFonts w:ascii="仿宋_GB2312" w:eastAsia="仿宋_GB2312"/>
                <w:sz w:val="21"/>
                <w:szCs w:val="21"/>
              </w:rPr>
            </w:pPr>
          </w:p>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违反国家有关规定，举办学校或其他教育机构的</w:t>
            </w:r>
          </w:p>
        </w:tc>
        <w:tc>
          <w:tcPr>
            <w:tcW w:w="3136" w:type="dxa"/>
            <w:noWrap/>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color w:val="000000"/>
                <w:sz w:val="21"/>
                <w:szCs w:val="21"/>
              </w:rPr>
              <w:t>撤销违法举办的学校和教育机构；没收违法所得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02" w:type="dxa"/>
            <w:vMerge w:val="restart"/>
            <w:noWrap w:val="0"/>
            <w:vAlign w:val="center"/>
          </w:tcPr>
          <w:p>
            <w:pPr>
              <w:adjustRightInd w:val="0"/>
              <w:snapToGrid w:val="0"/>
              <w:jc w:val="center"/>
              <w:rPr>
                <w:rFonts w:hint="eastAsia" w:ascii="仿宋_GB2312"/>
                <w:szCs w:val="21"/>
              </w:rPr>
            </w:pPr>
            <w:r>
              <w:rPr>
                <w:rFonts w:hint="eastAsia" w:ascii="仿宋_GB2312"/>
                <w:b/>
                <w:bCs/>
                <w:sz w:val="21"/>
                <w:szCs w:val="21"/>
              </w:rPr>
              <w:t>2</w:t>
            </w:r>
          </w:p>
        </w:tc>
        <w:tc>
          <w:tcPr>
            <w:tcW w:w="2143" w:type="dxa"/>
            <w:vMerge w:val="restart"/>
            <w:noWrap w:val="0"/>
            <w:vAlign w:val="center"/>
          </w:tcPr>
          <w:p>
            <w:pPr>
              <w:pStyle w:val="347"/>
              <w:widowControl/>
              <w:adjustRightInd w:val="0"/>
              <w:snapToGrid w:val="0"/>
              <w:spacing w:beforeAutospacing="0" w:afterAutospacing="0" w:line="300" w:lineRule="exact"/>
              <w:ind w:firstLine="420" w:firstLineChars="200"/>
              <w:textAlignment w:val="center"/>
              <w:rPr>
                <w:rFonts w:ascii="仿宋_GB2312" w:eastAsia="仿宋_GB2312"/>
                <w:sz w:val="21"/>
                <w:szCs w:val="21"/>
              </w:rPr>
            </w:pPr>
          </w:p>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学校或者其他教育机构违反国家有关规定招收学生的行为</w:t>
            </w:r>
          </w:p>
        </w:tc>
        <w:tc>
          <w:tcPr>
            <w:tcW w:w="5269" w:type="dxa"/>
            <w:vMerge w:val="restart"/>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 xml:space="preserve">《中华人民共和国教育法》第七十六条：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 </w:t>
            </w:r>
          </w:p>
          <w:p>
            <w:pPr>
              <w:pStyle w:val="347"/>
              <w:widowControl/>
              <w:adjustRightInd w:val="0"/>
              <w:snapToGrid w:val="0"/>
              <w:spacing w:beforeAutospacing="0" w:afterAutospacing="0" w:line="300" w:lineRule="exact"/>
              <w:textAlignment w:val="center"/>
              <w:rPr>
                <w:rFonts w:ascii="仿宋_GB2312" w:eastAsia="仿宋_GB2312"/>
                <w:sz w:val="21"/>
                <w:szCs w:val="21"/>
              </w:rPr>
            </w:pPr>
          </w:p>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情节轻微，危害后果轻微的</w:t>
            </w:r>
          </w:p>
        </w:tc>
        <w:tc>
          <w:tcPr>
            <w:tcW w:w="3136"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b/>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情节一般，造成较小危害后果或不良社会影响的</w:t>
            </w:r>
          </w:p>
        </w:tc>
        <w:tc>
          <w:tcPr>
            <w:tcW w:w="3136"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处违法所得五倍以下罚款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b/>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情节严重，造成较大危害后果或恶劣社会影响的</w:t>
            </w:r>
          </w:p>
        </w:tc>
        <w:tc>
          <w:tcPr>
            <w:tcW w:w="3136"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责令停止相关招生资格一年以上三年以下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b/>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widowControl/>
              <w:rPr>
                <w:rFonts w:hint="eastAsia" w:ascii="仿宋_GB2312" w:hAnsi="宋体" w:cs="宋体"/>
                <w:color w:val="000000"/>
                <w:kern w:val="0"/>
                <w:szCs w:val="21"/>
              </w:rPr>
            </w:pPr>
            <w:r>
              <w:rPr>
                <w:rFonts w:hint="eastAsia" w:ascii="仿宋_GB2312" w:hAnsi="宋体" w:cs="宋体"/>
                <w:color w:val="000000"/>
                <w:kern w:val="0"/>
                <w:sz w:val="21"/>
                <w:szCs w:val="21"/>
              </w:rPr>
              <w:t>情节严重，造成严重危害后果或恶劣社会影响的</w:t>
            </w:r>
          </w:p>
        </w:tc>
        <w:tc>
          <w:tcPr>
            <w:tcW w:w="3136" w:type="dxa"/>
            <w:noWrap w:val="0"/>
            <w:vAlign w:val="center"/>
          </w:tcPr>
          <w:p>
            <w:pPr>
              <w:widowControl/>
              <w:rPr>
                <w:rFonts w:hint="eastAsia" w:ascii="仿宋_GB2312" w:hAnsi="宋体" w:cs="宋体"/>
                <w:color w:val="000000"/>
                <w:kern w:val="0"/>
                <w:szCs w:val="21"/>
              </w:rPr>
            </w:pPr>
            <w:r>
              <w:rPr>
                <w:rFonts w:hint="eastAsia" w:ascii="仿宋_GB2312" w:hAnsi="宋体" w:cs="宋体"/>
                <w:color w:val="000000"/>
                <w:kern w:val="0"/>
                <w:sz w:val="21"/>
                <w:szCs w:val="21"/>
              </w:rPr>
              <w:t>撤销招生资格、吊销办学许可证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02" w:type="dxa"/>
            <w:noWrap w:val="0"/>
            <w:vAlign w:val="center"/>
          </w:tcPr>
          <w:p>
            <w:pPr>
              <w:adjustRightInd w:val="0"/>
              <w:snapToGrid w:val="0"/>
              <w:jc w:val="center"/>
              <w:rPr>
                <w:rFonts w:hint="eastAsia" w:ascii="仿宋_GB2312"/>
                <w:b/>
                <w:szCs w:val="21"/>
              </w:rPr>
            </w:pPr>
          </w:p>
          <w:p>
            <w:pPr>
              <w:adjustRightInd w:val="0"/>
              <w:snapToGrid w:val="0"/>
              <w:jc w:val="center"/>
              <w:rPr>
                <w:rFonts w:hint="eastAsia" w:ascii="仿宋_GB2312"/>
                <w:b/>
                <w:szCs w:val="21"/>
              </w:rPr>
            </w:pPr>
            <w:r>
              <w:rPr>
                <w:rFonts w:hint="eastAsia" w:ascii="仿宋_GB2312"/>
                <w:b/>
                <w:sz w:val="21"/>
                <w:szCs w:val="21"/>
              </w:rPr>
              <w:t>3</w:t>
            </w:r>
          </w:p>
          <w:p>
            <w:pPr>
              <w:adjustRightInd w:val="0"/>
              <w:snapToGrid w:val="0"/>
              <w:jc w:val="center"/>
              <w:rPr>
                <w:rFonts w:hint="eastAsia" w:ascii="仿宋_GB2312"/>
                <w:b/>
                <w:szCs w:val="21"/>
              </w:rPr>
            </w:pPr>
          </w:p>
          <w:p>
            <w:pPr>
              <w:adjustRightInd w:val="0"/>
              <w:snapToGrid w:val="0"/>
              <w:jc w:val="center"/>
              <w:rPr>
                <w:rFonts w:hint="eastAsia" w:ascii="仿宋_GB2312"/>
                <w:b/>
                <w:szCs w:val="21"/>
              </w:rPr>
            </w:pPr>
          </w:p>
          <w:p>
            <w:pPr>
              <w:adjustRightInd w:val="0"/>
              <w:snapToGrid w:val="0"/>
              <w:jc w:val="center"/>
              <w:rPr>
                <w:rFonts w:hint="eastAsia" w:ascii="仿宋_GB2312"/>
                <w:b/>
                <w:szCs w:val="21"/>
              </w:rPr>
            </w:pPr>
          </w:p>
          <w:p>
            <w:pPr>
              <w:adjustRightInd w:val="0"/>
              <w:snapToGrid w:val="0"/>
              <w:jc w:val="center"/>
              <w:rPr>
                <w:rFonts w:hint="eastAsia" w:ascii="仿宋_GB2312"/>
                <w:b/>
                <w:szCs w:val="21"/>
              </w:rPr>
            </w:pPr>
          </w:p>
          <w:p>
            <w:pPr>
              <w:adjustRightInd w:val="0"/>
              <w:snapToGrid w:val="0"/>
              <w:jc w:val="center"/>
              <w:rPr>
                <w:rFonts w:hint="eastAsia" w:ascii="仿宋_GB2312"/>
                <w:b/>
                <w:szCs w:val="21"/>
              </w:rPr>
            </w:pPr>
          </w:p>
          <w:p>
            <w:pPr>
              <w:adjustRightInd w:val="0"/>
              <w:snapToGrid w:val="0"/>
              <w:jc w:val="center"/>
              <w:rPr>
                <w:rFonts w:hint="eastAsia" w:ascii="仿宋_GB2312"/>
                <w:b/>
                <w:szCs w:val="21"/>
              </w:rPr>
            </w:pPr>
          </w:p>
        </w:tc>
        <w:tc>
          <w:tcPr>
            <w:tcW w:w="2143"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盗用、冒用他人身份，顶替他人取得入学资格的行为</w:t>
            </w:r>
            <w:r>
              <w:rPr>
                <w:rFonts w:eastAsia="仿宋_GB2312" w:cs="宋体"/>
                <w:sz w:val="21"/>
                <w:szCs w:val="21"/>
              </w:rPr>
              <w:t> </w:t>
            </w:r>
          </w:p>
        </w:tc>
        <w:tc>
          <w:tcPr>
            <w:tcW w:w="5269"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中华人民共和国教育法》第七十七条第二款：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盗用、冒用他人身份，顶替他人取得入学资格的</w:t>
            </w:r>
            <w:r>
              <w:rPr>
                <w:rFonts w:eastAsia="仿宋_GB2312" w:cs="宋体"/>
                <w:sz w:val="21"/>
                <w:szCs w:val="21"/>
              </w:rPr>
              <w:t> </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责令停止参加相关国家教育考试二年以上五年以下</w:t>
            </w:r>
            <w:r>
              <w:rPr>
                <w:rFonts w:eastAsia="仿宋_GB2312"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602" w:type="dxa"/>
            <w:noWrap w:val="0"/>
            <w:vAlign w:val="center"/>
          </w:tcPr>
          <w:p>
            <w:pPr>
              <w:adjustRightInd w:val="0"/>
              <w:snapToGrid w:val="0"/>
              <w:jc w:val="center"/>
              <w:rPr>
                <w:rFonts w:hint="eastAsia" w:ascii="仿宋_GB2312"/>
                <w:b/>
                <w:szCs w:val="21"/>
              </w:rPr>
            </w:pPr>
            <w:r>
              <w:rPr>
                <w:rFonts w:hint="eastAsia" w:ascii="仿宋_GB2312"/>
                <w:b/>
                <w:sz w:val="21"/>
                <w:szCs w:val="21"/>
              </w:rPr>
              <w:t>4</w:t>
            </w:r>
          </w:p>
        </w:tc>
        <w:tc>
          <w:tcPr>
            <w:tcW w:w="2143"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与他人串通，允许他人冒用本人身份，顶替本人取得的入学资格的行为</w:t>
            </w:r>
            <w:r>
              <w:rPr>
                <w:rFonts w:eastAsia="仿宋_GB2312" w:cs="宋体"/>
                <w:sz w:val="21"/>
                <w:szCs w:val="21"/>
              </w:rPr>
              <w:t>  </w:t>
            </w:r>
          </w:p>
        </w:tc>
        <w:tc>
          <w:tcPr>
            <w:tcW w:w="5269"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中华人民共和国教育法》第七十七条第三款：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与他人串通，允许他人冒用本人身份，顶替本人取得的入学资格的</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责令停止参加相关国家教育考试一年以上三年以下；没收违法所得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noWrap w:val="0"/>
            <w:vAlign w:val="center"/>
          </w:tcPr>
          <w:p>
            <w:pPr>
              <w:adjustRightInd w:val="0"/>
              <w:snapToGrid w:val="0"/>
              <w:jc w:val="center"/>
              <w:rPr>
                <w:rFonts w:hint="eastAsia" w:ascii="仿宋_GB2312"/>
                <w:b/>
                <w:szCs w:val="21"/>
              </w:rPr>
            </w:pPr>
            <w:r>
              <w:rPr>
                <w:rFonts w:hint="eastAsia" w:ascii="仿宋_GB2312"/>
                <w:b/>
                <w:sz w:val="21"/>
                <w:szCs w:val="21"/>
              </w:rPr>
              <w:t>5</w:t>
            </w:r>
          </w:p>
        </w:tc>
        <w:tc>
          <w:tcPr>
            <w:tcW w:w="2143"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组织、指使盗用或者冒用他人身份，顶替他人取得的入学资格的行为</w:t>
            </w:r>
            <w:r>
              <w:rPr>
                <w:rFonts w:eastAsia="仿宋_GB2312" w:cs="宋体"/>
                <w:sz w:val="21"/>
                <w:szCs w:val="21"/>
              </w:rPr>
              <w:t>  </w:t>
            </w:r>
          </w:p>
        </w:tc>
        <w:tc>
          <w:tcPr>
            <w:tcW w:w="5269"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中华人民共和国教育法》第七十七条第四款：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组织、指使盗用或者冒用他人身份，顶替他人取得的入学资格的</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没收违法所得</w:t>
            </w:r>
            <w:r>
              <w:rPr>
                <w:rFonts w:eastAsia="仿宋_GB2312"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02" w:type="dxa"/>
            <w:vMerge w:val="restart"/>
            <w:noWrap w:val="0"/>
            <w:vAlign w:val="center"/>
          </w:tcPr>
          <w:p>
            <w:pPr>
              <w:adjustRightInd w:val="0"/>
              <w:snapToGrid w:val="0"/>
              <w:jc w:val="center"/>
              <w:rPr>
                <w:rFonts w:hint="eastAsia" w:ascii="仿宋_GB2312"/>
                <w:b/>
                <w:szCs w:val="21"/>
              </w:rPr>
            </w:pPr>
            <w:r>
              <w:rPr>
                <w:rFonts w:hint="eastAsia" w:ascii="仿宋_GB2312"/>
                <w:b/>
                <w:sz w:val="21"/>
                <w:szCs w:val="21"/>
              </w:rPr>
              <w:t>6</w:t>
            </w:r>
          </w:p>
        </w:tc>
        <w:tc>
          <w:tcPr>
            <w:tcW w:w="2143" w:type="dxa"/>
            <w:vMerge w:val="restart"/>
            <w:noWrap w:val="0"/>
            <w:vAlign w:val="center"/>
          </w:tcPr>
          <w:p>
            <w:pPr>
              <w:pStyle w:val="347"/>
              <w:widowControl/>
              <w:adjustRightInd w:val="0"/>
              <w:snapToGrid w:val="0"/>
              <w:spacing w:beforeAutospacing="0" w:afterAutospacing="0" w:line="300" w:lineRule="exact"/>
              <w:jc w:val="both"/>
              <w:textAlignment w:val="center"/>
              <w:rPr>
                <w:rFonts w:ascii="仿宋_GB2312" w:eastAsia="仿宋_GB2312"/>
                <w:sz w:val="21"/>
                <w:szCs w:val="21"/>
              </w:rPr>
            </w:pPr>
            <w:r>
              <w:rPr>
                <w:rFonts w:ascii="仿宋_GB2312" w:eastAsia="仿宋_GB2312" w:cs="宋体"/>
                <w:sz w:val="21"/>
                <w:szCs w:val="21"/>
              </w:rPr>
              <w:t>学校或者其他教育机构违法颁发学位证书、学历证书或者其他学业证书的行为</w:t>
            </w:r>
          </w:p>
        </w:tc>
        <w:tc>
          <w:tcPr>
            <w:tcW w:w="5269" w:type="dxa"/>
            <w:vMerge w:val="restart"/>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中华人民共和国教育法》第八十二条：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r>
              <w:rPr>
                <w:rFonts w:eastAsia="仿宋_GB2312" w:cs="宋体"/>
                <w:sz w:val="21"/>
                <w:szCs w:val="21"/>
              </w:rPr>
              <w:t> </w:t>
            </w:r>
          </w:p>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情节轻微，危害后果轻微的</w:t>
            </w:r>
          </w:p>
        </w:tc>
        <w:tc>
          <w:tcPr>
            <w:tcW w:w="3136"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没收证书，没收违法所得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hAnsi="宋体" w:cs="宋体"/>
                <w:kern w:val="0"/>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widowControl/>
              <w:rPr>
                <w:rFonts w:hint="eastAsia" w:ascii="仿宋_GB2312"/>
                <w:szCs w:val="21"/>
              </w:rPr>
            </w:pPr>
            <w:r>
              <w:rPr>
                <w:rFonts w:hint="eastAsia" w:ascii="仿宋_GB2312" w:hAnsi="宋体" w:cs="宋体"/>
                <w:color w:val="000000"/>
                <w:kern w:val="0"/>
                <w:sz w:val="21"/>
                <w:szCs w:val="21"/>
              </w:rPr>
              <w:t>情节严重，造成一定危害后果或不良社会影响的</w:t>
            </w:r>
          </w:p>
        </w:tc>
        <w:tc>
          <w:tcPr>
            <w:tcW w:w="3136" w:type="dxa"/>
            <w:noWrap w:val="0"/>
            <w:vAlign w:val="center"/>
          </w:tcPr>
          <w:p>
            <w:pPr>
              <w:widowControl/>
              <w:rPr>
                <w:rFonts w:hint="eastAsia" w:ascii="仿宋_GB2312"/>
                <w:szCs w:val="21"/>
              </w:rPr>
            </w:pPr>
            <w:r>
              <w:rPr>
                <w:rFonts w:hint="eastAsia" w:ascii="仿宋_GB2312" w:hAnsi="宋体" w:cs="宋体"/>
                <w:color w:val="000000"/>
                <w:kern w:val="0"/>
                <w:sz w:val="21"/>
                <w:szCs w:val="21"/>
              </w:rPr>
              <w:t>没收证书；没收违法所得；责令停止相关招生资格一年以上三年以下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hAnsi="宋体" w:cs="宋体"/>
                <w:kern w:val="0"/>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情节严重，造成严重危害后果或恶劣社会影响的</w:t>
            </w:r>
          </w:p>
        </w:tc>
        <w:tc>
          <w:tcPr>
            <w:tcW w:w="3136" w:type="dxa"/>
            <w:noWrap w:val="0"/>
            <w:vAlign w:val="center"/>
          </w:tcPr>
          <w:p>
            <w:pPr>
              <w:widowControl/>
              <w:rPr>
                <w:rFonts w:hint="eastAsia" w:ascii="仿宋_GB2312" w:hAnsi="宋体" w:cs="宋体"/>
                <w:kern w:val="0"/>
                <w:szCs w:val="21"/>
              </w:rPr>
            </w:pPr>
            <w:r>
              <w:rPr>
                <w:rFonts w:hint="eastAsia" w:ascii="仿宋_GB2312" w:hAnsi="宋体" w:cs="宋体"/>
                <w:color w:val="000000"/>
                <w:kern w:val="0"/>
                <w:sz w:val="21"/>
                <w:szCs w:val="21"/>
              </w:rPr>
              <w:t>没收证书；没收违法所得；撤销招生资格、颁发证书资格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02" w:type="dxa"/>
            <w:vMerge w:val="restart"/>
            <w:noWrap w:val="0"/>
            <w:vAlign w:val="center"/>
          </w:tcPr>
          <w:p>
            <w:pPr>
              <w:adjustRightInd w:val="0"/>
              <w:snapToGrid w:val="0"/>
              <w:jc w:val="center"/>
              <w:rPr>
                <w:rFonts w:hint="eastAsia" w:ascii="仿宋_GB2312"/>
                <w:b/>
                <w:szCs w:val="21"/>
              </w:rPr>
            </w:pPr>
            <w:r>
              <w:rPr>
                <w:rFonts w:hint="eastAsia" w:ascii="仿宋_GB2312"/>
                <w:b/>
                <w:sz w:val="21"/>
                <w:szCs w:val="21"/>
              </w:rPr>
              <w:t>7</w:t>
            </w:r>
          </w:p>
        </w:tc>
        <w:tc>
          <w:tcPr>
            <w:tcW w:w="2143" w:type="dxa"/>
            <w:vMerge w:val="restart"/>
            <w:noWrap w:val="0"/>
            <w:vAlign w:val="center"/>
          </w:tcPr>
          <w:p>
            <w:pPr>
              <w:pStyle w:val="347"/>
              <w:widowControl/>
              <w:adjustRightInd w:val="0"/>
              <w:snapToGrid w:val="0"/>
              <w:spacing w:beforeAutospacing="0" w:afterAutospacing="0" w:line="300" w:lineRule="exact"/>
              <w:jc w:val="both"/>
              <w:textAlignment w:val="center"/>
              <w:rPr>
                <w:rFonts w:ascii="仿宋_GB2312" w:eastAsia="仿宋_GB2312"/>
                <w:sz w:val="21"/>
                <w:szCs w:val="21"/>
              </w:rPr>
            </w:pPr>
            <w:r>
              <w:rPr>
                <w:rFonts w:ascii="仿宋_GB2312" w:eastAsia="仿宋_GB2312" w:cs="宋体"/>
                <w:sz w:val="21"/>
                <w:szCs w:val="21"/>
              </w:rPr>
              <w:t>幼儿园未经注册登记，擅自招收幼儿的行为</w:t>
            </w:r>
          </w:p>
        </w:tc>
        <w:tc>
          <w:tcPr>
            <w:tcW w:w="5269" w:type="dxa"/>
            <w:vMerge w:val="restart"/>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《幼儿园管理条例》第二十七条第（一）项：违反本条例，具有下列情形之一的幼儿园，由教育行政部门视情节轻重，给予限期整顿、停止招生、停止办园的行政处罚：（一）未经注册登记，擅自招收幼儿的。</w:t>
            </w:r>
          </w:p>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eastAsia="仿宋_GB2312" w:cs="宋体"/>
                <w:sz w:val="21"/>
                <w:szCs w:val="21"/>
              </w:rPr>
              <w:t> </w:t>
            </w: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情节轻微，具备办园条件</w:t>
            </w:r>
            <w:r>
              <w:rPr>
                <w:rFonts w:eastAsia="仿宋_GB2312" w:cs="宋体"/>
                <w:sz w:val="21"/>
                <w:szCs w:val="21"/>
              </w:rPr>
              <w:t> </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pacing w:val="-6"/>
                <w:sz w:val="21"/>
                <w:szCs w:val="21"/>
              </w:rPr>
              <w:t>责令限期整顿</w:t>
            </w:r>
            <w:r>
              <w:rPr>
                <w:rFonts w:eastAsia="仿宋_GB2312" w:cs="宋体"/>
                <w:spacing w:val="-6"/>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pStyle w:val="347"/>
              <w:widowControl/>
              <w:adjustRightInd w:val="0"/>
              <w:snapToGrid w:val="0"/>
              <w:spacing w:beforeAutospacing="0" w:afterAutospacing="0" w:line="300" w:lineRule="exact"/>
              <w:ind w:firstLine="420" w:firstLineChars="200"/>
              <w:textAlignment w:val="center"/>
              <w:rPr>
                <w:rFonts w:ascii="仿宋_GB2312" w:eastAsia="仿宋_GB2312"/>
                <w:sz w:val="21"/>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情节严重，整改不力</w:t>
            </w:r>
            <w:r>
              <w:rPr>
                <w:rFonts w:eastAsia="仿宋_GB2312" w:cs="宋体"/>
                <w:sz w:val="21"/>
                <w:szCs w:val="21"/>
              </w:rPr>
              <w:t> </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pacing w:val="-6"/>
                <w:sz w:val="21"/>
                <w:szCs w:val="21"/>
              </w:rPr>
              <w:t>责令限期整顿，逾期整顿不到位的，停止招生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pStyle w:val="347"/>
              <w:widowControl/>
              <w:adjustRightInd w:val="0"/>
              <w:snapToGrid w:val="0"/>
              <w:spacing w:beforeAutospacing="0" w:afterAutospacing="0" w:line="300" w:lineRule="exact"/>
              <w:ind w:firstLine="420" w:firstLineChars="200"/>
              <w:textAlignment w:val="center"/>
              <w:rPr>
                <w:rFonts w:ascii="仿宋_GB2312" w:eastAsia="仿宋_GB2312"/>
                <w:sz w:val="21"/>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情节严重，影响恶劣</w:t>
            </w:r>
            <w:r>
              <w:rPr>
                <w:rFonts w:eastAsia="仿宋_GB2312" w:cs="宋体"/>
                <w:sz w:val="21"/>
                <w:szCs w:val="21"/>
              </w:rPr>
              <w:t> </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pacing w:val="-6"/>
                <w:sz w:val="21"/>
                <w:szCs w:val="21"/>
              </w:rPr>
              <w:t>责令停止办园</w:t>
            </w:r>
            <w:r>
              <w:rPr>
                <w:rFonts w:eastAsia="仿宋_GB2312" w:cs="宋体"/>
                <w:spacing w:val="-6"/>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restart"/>
            <w:noWrap w:val="0"/>
            <w:vAlign w:val="center"/>
          </w:tcPr>
          <w:p>
            <w:pPr>
              <w:adjustRightInd w:val="0"/>
              <w:snapToGrid w:val="0"/>
              <w:jc w:val="center"/>
              <w:rPr>
                <w:rFonts w:hint="eastAsia" w:ascii="仿宋_GB2312"/>
                <w:b/>
                <w:szCs w:val="21"/>
              </w:rPr>
            </w:pPr>
            <w:r>
              <w:rPr>
                <w:rFonts w:hint="eastAsia" w:ascii="仿宋_GB2312"/>
                <w:b/>
                <w:sz w:val="21"/>
                <w:szCs w:val="21"/>
              </w:rPr>
              <w:t>8</w:t>
            </w:r>
          </w:p>
        </w:tc>
        <w:tc>
          <w:tcPr>
            <w:tcW w:w="2143" w:type="dxa"/>
            <w:vMerge w:val="restart"/>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幼儿园存在园舍、设施不符合标准，妨害幼儿身体健康或者威胁幼儿生命安全，或存在教育内容和方法违背幼儿教育规律，损害幼儿身心健康的行为</w:t>
            </w:r>
            <w:r>
              <w:rPr>
                <w:rFonts w:eastAsia="仿宋_GB2312" w:cs="宋体"/>
                <w:sz w:val="21"/>
                <w:szCs w:val="21"/>
              </w:rPr>
              <w:t>  </w:t>
            </w:r>
          </w:p>
        </w:tc>
        <w:tc>
          <w:tcPr>
            <w:tcW w:w="5269" w:type="dxa"/>
            <w:vMerge w:val="restart"/>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幼儿园管理条例》第二十七条第（二）、（三）项：违反本条例，具有下列情形之一的幼儿园，由教育行政部门视情节轻重，给予限期整顿、停止招生、停止办园的行政处罚：（二）园舍、设施不符合国家卫生标准、安全标准，妨害幼儿身体健康或者威胁幼儿生命安全的；（三）教育内容和方法违背幼儿教育规律，损害幼儿身心健康的。</w:t>
            </w:r>
            <w:r>
              <w:rPr>
                <w:rFonts w:eastAsia="仿宋_GB2312" w:cs="宋体"/>
                <w:sz w:val="21"/>
                <w:szCs w:val="21"/>
              </w:rPr>
              <w:t> </w:t>
            </w:r>
          </w:p>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情节轻微，</w:t>
            </w:r>
            <w:r>
              <w:rPr>
                <w:rFonts w:ascii="仿宋_GB2312" w:eastAsia="仿宋_GB2312" w:cs="宋体"/>
                <w:color w:val="000000"/>
                <w:sz w:val="21"/>
                <w:szCs w:val="21"/>
              </w:rPr>
              <w:t>危害后果轻微的</w:t>
            </w:r>
            <w:r>
              <w:rPr>
                <w:rFonts w:eastAsia="仿宋_GB2312" w:cs="宋体"/>
                <w:sz w:val="21"/>
                <w:szCs w:val="21"/>
              </w:rPr>
              <w:t> </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限期整顿</w:t>
            </w:r>
            <w:r>
              <w:rPr>
                <w:rFonts w:eastAsia="仿宋_GB2312"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hAnsi="宋体" w:cs="宋体"/>
                <w:color w:val="000000"/>
                <w:kern w:val="0"/>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情节严重，</w:t>
            </w:r>
            <w:r>
              <w:rPr>
                <w:rFonts w:ascii="仿宋_GB2312" w:eastAsia="仿宋_GB2312" w:cs="宋体"/>
                <w:color w:val="000000"/>
                <w:sz w:val="21"/>
                <w:szCs w:val="21"/>
              </w:rPr>
              <w:t>造成一定危害后果或不良社会影响的</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停止招生</w:t>
            </w:r>
            <w:r>
              <w:rPr>
                <w:rFonts w:eastAsia="仿宋_GB2312"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hAnsi="宋体" w:cs="宋体"/>
                <w:color w:val="000000"/>
                <w:kern w:val="0"/>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情节严重，</w:t>
            </w:r>
            <w:r>
              <w:rPr>
                <w:rFonts w:ascii="仿宋_GB2312" w:eastAsia="仿宋_GB2312" w:cs="宋体"/>
                <w:color w:val="000000"/>
                <w:sz w:val="21"/>
                <w:szCs w:val="21"/>
              </w:rPr>
              <w:t>造成严重危害后果或恶劣社会影响的</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pacing w:val="-6"/>
                <w:sz w:val="21"/>
                <w:szCs w:val="21"/>
              </w:rPr>
              <w:t>停止办园</w:t>
            </w:r>
            <w:r>
              <w:rPr>
                <w:rFonts w:eastAsia="仿宋_GB2312" w:cs="宋体"/>
                <w:spacing w:val="-6"/>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02" w:type="dxa"/>
            <w:vMerge w:val="restart"/>
            <w:noWrap w:val="0"/>
            <w:vAlign w:val="center"/>
          </w:tcPr>
          <w:p>
            <w:pPr>
              <w:adjustRightInd w:val="0"/>
              <w:snapToGrid w:val="0"/>
              <w:jc w:val="center"/>
              <w:rPr>
                <w:rFonts w:hint="eastAsia" w:ascii="仿宋_GB2312"/>
                <w:b/>
                <w:szCs w:val="21"/>
              </w:rPr>
            </w:pPr>
            <w:r>
              <w:rPr>
                <w:rFonts w:hint="eastAsia" w:ascii="仿宋_GB2312"/>
                <w:b/>
                <w:sz w:val="21"/>
                <w:szCs w:val="21"/>
              </w:rPr>
              <w:t>9</w:t>
            </w:r>
          </w:p>
        </w:tc>
        <w:tc>
          <w:tcPr>
            <w:tcW w:w="2143" w:type="dxa"/>
            <w:vMerge w:val="restart"/>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体罚或变相体罚幼儿；使用有毒、有害物质制作教具、玩具；克扣、挪用幼儿园经费；侵占、破坏幼儿园园舍、设备；干扰幼儿园正常工作秩序；在幼儿园周围设置有危险、有污染或者影响幼儿园采光的建筑和设施</w:t>
            </w:r>
          </w:p>
        </w:tc>
        <w:tc>
          <w:tcPr>
            <w:tcW w:w="5269" w:type="dxa"/>
            <w:vMerge w:val="restart"/>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幼儿园管理条例》第二十八条：违反本条例，具有下列情形之一的单位或者个人，由教育行政部门对直接责任人员给予警告、罚款的行政处罚，或者由教育行政部门建议有关部门对责任人员给予行政处分：（一）体罚或变相体罚幼儿的；（二）使用有毒、有害物质制作教具、玩具的；（三）克扣、挪用幼儿园经费的；（四）侵占、破坏幼儿园园舍、设备的；（五）干扰幼儿园正常工作秩序的；（六）在幼儿园周围设置有危险、有污染或者影响幼儿园采光的建筑和设施的。</w:t>
            </w:r>
          </w:p>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教育行政处罚暂行实施办法》第十条第二款：具有下列情形之一的单位或个人，由教育行政部门对直接责任人员给予警告、一千元以下的罚款，或者由教育行政部门建议有关部门对责任人员给予行政处分：（一）体罚或变相体罚幼儿的；（二）使用有毒、有害物质制作教具、玩具的；（三）克扣、挪用幼儿园经费的；（四）侵占、破坏幼儿园园舍、设备的；（五）干扰幼儿园正常工作秩序的；（六）在幼儿园周围设置有危险、有污染或者影响幼儿园采光的建筑和设施的。</w:t>
            </w: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情节轻微,</w:t>
            </w:r>
            <w:r>
              <w:rPr>
                <w:rFonts w:ascii="仿宋_GB2312" w:eastAsia="仿宋_GB2312" w:cs="宋体"/>
                <w:color w:val="000000"/>
                <w:sz w:val="21"/>
                <w:szCs w:val="21"/>
              </w:rPr>
              <w:t>危害后果轻微的</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警告</w:t>
            </w:r>
            <w:r>
              <w:rPr>
                <w:rFonts w:eastAsia="仿宋_GB2312"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02" w:type="dxa"/>
            <w:vMerge w:val="continue"/>
            <w:noWrap w:val="0"/>
            <w:vAlign w:val="center"/>
          </w:tcPr>
          <w:p>
            <w:pPr>
              <w:adjustRightInd w:val="0"/>
              <w:snapToGrid w:val="0"/>
              <w:jc w:val="center"/>
              <w:rPr>
                <w:rFonts w:hint="eastAsia" w:ascii="仿宋_GB2312"/>
                <w:b/>
                <w:szCs w:val="21"/>
              </w:rPr>
            </w:pPr>
          </w:p>
        </w:tc>
        <w:tc>
          <w:tcPr>
            <w:tcW w:w="2143" w:type="dxa"/>
            <w:vMerge w:val="continue"/>
            <w:noWrap w:val="0"/>
            <w:vAlign w:val="center"/>
          </w:tcPr>
          <w:p>
            <w:pPr>
              <w:pStyle w:val="347"/>
              <w:widowControl/>
              <w:adjustRightInd w:val="0"/>
              <w:snapToGrid w:val="0"/>
              <w:spacing w:beforeAutospacing="0" w:afterAutospacing="0" w:line="300" w:lineRule="exact"/>
              <w:ind w:firstLine="420" w:firstLineChars="200"/>
              <w:textAlignment w:val="center"/>
              <w:rPr>
                <w:rFonts w:ascii="仿宋_GB2312" w:eastAsia="仿宋_GB2312"/>
                <w:sz w:val="21"/>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情节一般,</w:t>
            </w:r>
            <w:r>
              <w:rPr>
                <w:rFonts w:ascii="仿宋_GB2312" w:eastAsia="仿宋_GB2312" w:cs="宋体"/>
                <w:color w:val="000000"/>
                <w:sz w:val="21"/>
                <w:szCs w:val="21"/>
              </w:rPr>
              <w:t>造成一定危害后果或不良社会影响的</w:t>
            </w:r>
            <w:r>
              <w:rPr>
                <w:rFonts w:ascii="仿宋_GB2312" w:eastAsia="仿宋_GB2312" w:cs="宋体"/>
                <w:sz w:val="21"/>
                <w:szCs w:val="21"/>
              </w:rPr>
              <w:t>。</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警告并可处500元以下的罚款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noWrap w:val="0"/>
            <w:vAlign w:val="top"/>
          </w:tcPr>
          <w:p>
            <w:pPr>
              <w:adjustRightInd w:val="0"/>
              <w:snapToGrid w:val="0"/>
              <w:jc w:val="center"/>
              <w:rPr>
                <w:rFonts w:hint="eastAsia" w:ascii="仿宋_GB2312"/>
                <w:b/>
                <w:szCs w:val="21"/>
              </w:rPr>
            </w:pPr>
          </w:p>
        </w:tc>
        <w:tc>
          <w:tcPr>
            <w:tcW w:w="2143" w:type="dxa"/>
            <w:vMerge w:val="continue"/>
            <w:noWrap w:val="0"/>
            <w:vAlign w:val="center"/>
          </w:tcPr>
          <w:p>
            <w:pPr>
              <w:adjustRightInd w:val="0"/>
              <w:snapToGrid w:val="0"/>
              <w:rPr>
                <w:rFonts w:hint="eastAsia" w:ascii="仿宋_GB2312" w:hAnsi="宋体" w:cs="宋体"/>
                <w:color w:val="000000"/>
                <w:kern w:val="0"/>
                <w:szCs w:val="21"/>
              </w:rPr>
            </w:pPr>
          </w:p>
        </w:tc>
        <w:tc>
          <w:tcPr>
            <w:tcW w:w="5269" w:type="dxa"/>
            <w:vMerge w:val="continue"/>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p>
        </w:tc>
        <w:tc>
          <w:tcPr>
            <w:tcW w:w="2991"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情节严重，</w:t>
            </w:r>
            <w:r>
              <w:rPr>
                <w:rFonts w:ascii="仿宋_GB2312" w:eastAsia="仿宋_GB2312" w:cs="宋体"/>
                <w:color w:val="000000"/>
                <w:sz w:val="21"/>
                <w:szCs w:val="21"/>
              </w:rPr>
              <w:t>造成严重后果或恶劣社会影响的</w:t>
            </w:r>
            <w:r>
              <w:rPr>
                <w:rFonts w:eastAsia="仿宋_GB2312" w:cs="宋体"/>
                <w:sz w:val="21"/>
                <w:szCs w:val="21"/>
              </w:rPr>
              <w:t> </w:t>
            </w:r>
          </w:p>
        </w:tc>
        <w:tc>
          <w:tcPr>
            <w:tcW w:w="3136" w:type="dxa"/>
            <w:noWrap w:val="0"/>
            <w:vAlign w:val="center"/>
          </w:tcPr>
          <w:p>
            <w:pPr>
              <w:pStyle w:val="347"/>
              <w:widowControl/>
              <w:adjustRightInd w:val="0"/>
              <w:snapToGrid w:val="0"/>
              <w:spacing w:beforeAutospacing="0" w:afterAutospacing="0" w:line="300" w:lineRule="exact"/>
              <w:textAlignment w:val="center"/>
              <w:rPr>
                <w:rFonts w:ascii="仿宋_GB2312" w:eastAsia="仿宋_GB2312"/>
                <w:sz w:val="21"/>
                <w:szCs w:val="21"/>
              </w:rPr>
            </w:pPr>
            <w:r>
              <w:rPr>
                <w:rFonts w:ascii="仿宋_GB2312" w:eastAsia="仿宋_GB2312" w:cs="宋体"/>
                <w:sz w:val="21"/>
                <w:szCs w:val="21"/>
              </w:rPr>
              <w:t>警告并可处500元至1000元的罚款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02" w:type="dxa"/>
            <w:vMerge w:val="restart"/>
            <w:noWrap w:val="0"/>
            <w:vAlign w:val="top"/>
          </w:tcPr>
          <w:p>
            <w:pPr>
              <w:adjustRightInd w:val="0"/>
              <w:snapToGrid w:val="0"/>
              <w:spacing w:line="240" w:lineRule="exact"/>
              <w:jc w:val="center"/>
              <w:rPr>
                <w:rFonts w:hint="eastAsia" w:ascii="仿宋_GB2312"/>
                <w:b/>
                <w:szCs w:val="21"/>
              </w:rPr>
            </w:pPr>
          </w:p>
          <w:p>
            <w:pPr>
              <w:adjustRightInd w:val="0"/>
              <w:snapToGrid w:val="0"/>
              <w:spacing w:line="240" w:lineRule="exact"/>
              <w:jc w:val="center"/>
              <w:rPr>
                <w:rFonts w:hint="eastAsia" w:ascii="仿宋_GB2312"/>
                <w:b/>
                <w:szCs w:val="21"/>
              </w:rPr>
            </w:pPr>
          </w:p>
          <w:p>
            <w:pPr>
              <w:adjustRightInd w:val="0"/>
              <w:snapToGrid w:val="0"/>
              <w:spacing w:line="240" w:lineRule="exact"/>
              <w:jc w:val="center"/>
              <w:rPr>
                <w:rFonts w:hint="eastAsia" w:ascii="仿宋_GB2312"/>
                <w:b/>
                <w:szCs w:val="21"/>
              </w:rPr>
            </w:pPr>
          </w:p>
          <w:p>
            <w:pPr>
              <w:adjustRightInd w:val="0"/>
              <w:snapToGrid w:val="0"/>
              <w:spacing w:line="240" w:lineRule="exact"/>
              <w:jc w:val="center"/>
              <w:rPr>
                <w:rFonts w:hint="eastAsia" w:ascii="仿宋_GB2312"/>
                <w:b/>
                <w:szCs w:val="21"/>
              </w:rPr>
            </w:pPr>
          </w:p>
          <w:p>
            <w:pPr>
              <w:adjustRightInd w:val="0"/>
              <w:snapToGrid w:val="0"/>
              <w:spacing w:line="240" w:lineRule="exact"/>
              <w:jc w:val="center"/>
              <w:rPr>
                <w:rFonts w:hint="eastAsia" w:ascii="仿宋_GB2312"/>
                <w:b/>
                <w:szCs w:val="21"/>
              </w:rPr>
            </w:pPr>
            <w:r>
              <w:rPr>
                <w:rFonts w:hint="eastAsia" w:ascii="仿宋_GB2312"/>
                <w:b/>
                <w:sz w:val="21"/>
                <w:szCs w:val="21"/>
              </w:rPr>
              <w:t>10</w:t>
            </w:r>
          </w:p>
        </w:tc>
        <w:tc>
          <w:tcPr>
            <w:tcW w:w="2143" w:type="dxa"/>
            <w:vMerge w:val="restart"/>
            <w:noWrap w:val="0"/>
            <w:vAlign w:val="center"/>
          </w:tcPr>
          <w:p>
            <w:pPr>
              <w:widowControl/>
              <w:spacing w:line="240" w:lineRule="exact"/>
              <w:rPr>
                <w:rFonts w:hint="eastAsia" w:ascii="仿宋_GB2312" w:hAnsi="宋体" w:cs="宋体"/>
                <w:color w:val="000000"/>
                <w:kern w:val="0"/>
                <w:szCs w:val="21"/>
              </w:rPr>
            </w:pPr>
            <w:r>
              <w:rPr>
                <w:rFonts w:hint="eastAsia" w:ascii="仿宋_GB2312" w:hAnsi="宋体" w:cs="宋体"/>
                <w:color w:val="000000"/>
                <w:kern w:val="0"/>
                <w:sz w:val="21"/>
                <w:szCs w:val="21"/>
              </w:rPr>
              <w:t>学校违反《校车安全管理条例》规定的行为</w:t>
            </w:r>
          </w:p>
        </w:tc>
        <w:tc>
          <w:tcPr>
            <w:tcW w:w="5269" w:type="dxa"/>
            <w:vMerge w:val="restart"/>
            <w:noWrap w:val="0"/>
            <w:vAlign w:val="center"/>
          </w:tcPr>
          <w:p>
            <w:pPr>
              <w:pStyle w:val="347"/>
              <w:widowControl/>
              <w:adjustRightInd w:val="0"/>
              <w:snapToGrid w:val="0"/>
              <w:spacing w:beforeAutospacing="0" w:afterAutospacing="0" w:line="240" w:lineRule="exact"/>
              <w:textAlignment w:val="center"/>
              <w:rPr>
                <w:rFonts w:ascii="仿宋_GB2312" w:eastAsia="仿宋_GB2312"/>
                <w:sz w:val="21"/>
                <w:szCs w:val="21"/>
              </w:rPr>
            </w:pPr>
            <w:r>
              <w:rPr>
                <w:rFonts w:ascii="仿宋_GB2312" w:eastAsia="仿宋_GB2312" w:cs="宋体"/>
                <w:sz w:val="21"/>
                <w:szCs w:val="21"/>
              </w:rPr>
              <w:t>《校车安全管理条例》第五十五条：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tc>
        <w:tc>
          <w:tcPr>
            <w:tcW w:w="2991" w:type="dxa"/>
            <w:noWrap w:val="0"/>
            <w:vAlign w:val="center"/>
          </w:tcPr>
          <w:p>
            <w:pPr>
              <w:widowControl/>
              <w:spacing w:line="240" w:lineRule="exact"/>
              <w:rPr>
                <w:rFonts w:hint="eastAsia" w:ascii="仿宋_GB2312" w:hAnsi="宋体" w:cs="宋体"/>
                <w:kern w:val="0"/>
                <w:szCs w:val="21"/>
              </w:rPr>
            </w:pPr>
            <w:r>
              <w:rPr>
                <w:rFonts w:hint="eastAsia" w:ascii="仿宋_GB2312" w:hAnsi="宋体" w:cs="宋体"/>
                <w:color w:val="000000"/>
                <w:kern w:val="0"/>
                <w:sz w:val="21"/>
                <w:szCs w:val="21"/>
              </w:rPr>
              <w:t>情节轻微，危害后果轻微的</w:t>
            </w:r>
          </w:p>
        </w:tc>
        <w:tc>
          <w:tcPr>
            <w:tcW w:w="3136" w:type="dxa"/>
            <w:noWrap w:val="0"/>
            <w:vAlign w:val="center"/>
          </w:tcPr>
          <w:p>
            <w:pPr>
              <w:widowControl/>
              <w:spacing w:line="240" w:lineRule="exact"/>
              <w:rPr>
                <w:rFonts w:hint="eastAsia" w:ascii="仿宋_GB2312" w:hAnsi="宋体" w:cs="宋体"/>
                <w:kern w:val="0"/>
                <w:szCs w:val="21"/>
              </w:rPr>
            </w:pPr>
            <w:r>
              <w:rPr>
                <w:rFonts w:hint="eastAsia" w:ascii="仿宋_GB2312" w:hAnsi="宋体" w:cs="宋体"/>
                <w:color w:val="000000"/>
                <w:kern w:val="0"/>
                <w:sz w:val="21"/>
                <w:szCs w:val="21"/>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02" w:type="dxa"/>
            <w:vMerge w:val="continue"/>
            <w:noWrap w:val="0"/>
            <w:vAlign w:val="top"/>
          </w:tcPr>
          <w:p>
            <w:pPr>
              <w:adjustRightInd w:val="0"/>
              <w:snapToGrid w:val="0"/>
              <w:spacing w:line="240" w:lineRule="exact"/>
              <w:jc w:val="center"/>
              <w:rPr>
                <w:rFonts w:hint="eastAsia" w:ascii="仿宋_GB2312"/>
                <w:b/>
                <w:szCs w:val="21"/>
              </w:rPr>
            </w:pPr>
          </w:p>
        </w:tc>
        <w:tc>
          <w:tcPr>
            <w:tcW w:w="2143" w:type="dxa"/>
            <w:vMerge w:val="continue"/>
            <w:noWrap w:val="0"/>
            <w:vAlign w:val="center"/>
          </w:tcPr>
          <w:p>
            <w:pPr>
              <w:widowControl/>
              <w:spacing w:line="240" w:lineRule="exact"/>
              <w:rPr>
                <w:rFonts w:hint="eastAsia" w:ascii="仿宋_GB2312" w:hAnsi="宋体" w:cs="宋体"/>
                <w:color w:val="000000"/>
                <w:kern w:val="0"/>
                <w:szCs w:val="21"/>
              </w:rPr>
            </w:pPr>
          </w:p>
        </w:tc>
        <w:tc>
          <w:tcPr>
            <w:tcW w:w="5269" w:type="dxa"/>
            <w:vMerge w:val="continue"/>
            <w:noWrap w:val="0"/>
            <w:vAlign w:val="center"/>
          </w:tcPr>
          <w:p>
            <w:pPr>
              <w:widowControl/>
              <w:spacing w:line="240" w:lineRule="exact"/>
              <w:rPr>
                <w:rFonts w:hint="eastAsia" w:ascii="仿宋_GB2312"/>
                <w:b/>
                <w:szCs w:val="21"/>
              </w:rPr>
            </w:pPr>
          </w:p>
        </w:tc>
        <w:tc>
          <w:tcPr>
            <w:tcW w:w="2991" w:type="dxa"/>
            <w:noWrap w:val="0"/>
            <w:vAlign w:val="center"/>
          </w:tcPr>
          <w:p>
            <w:pPr>
              <w:widowControl/>
              <w:spacing w:line="240" w:lineRule="exact"/>
              <w:rPr>
                <w:rFonts w:hint="eastAsia" w:ascii="仿宋_GB2312" w:hAnsi="宋体" w:cs="宋体"/>
                <w:kern w:val="0"/>
                <w:szCs w:val="21"/>
              </w:rPr>
            </w:pPr>
            <w:r>
              <w:rPr>
                <w:rFonts w:hint="eastAsia" w:ascii="仿宋_GB2312" w:hAnsi="宋体" w:cs="宋体"/>
                <w:color w:val="000000"/>
                <w:kern w:val="0"/>
                <w:sz w:val="21"/>
                <w:szCs w:val="21"/>
              </w:rPr>
              <w:t>对民办学校，情节一般，造成一定危害后果或不良社会影响的</w:t>
            </w:r>
          </w:p>
        </w:tc>
        <w:tc>
          <w:tcPr>
            <w:tcW w:w="3136" w:type="dxa"/>
            <w:noWrap w:val="0"/>
            <w:vAlign w:val="center"/>
          </w:tcPr>
          <w:p>
            <w:pPr>
              <w:widowControl/>
              <w:spacing w:line="240" w:lineRule="exact"/>
              <w:rPr>
                <w:rFonts w:hint="eastAsia" w:ascii="仿宋_GB2312" w:hAnsi="宋体" w:cs="宋体"/>
                <w:kern w:val="0"/>
                <w:szCs w:val="21"/>
              </w:rPr>
            </w:pPr>
            <w:r>
              <w:rPr>
                <w:rFonts w:hint="eastAsia" w:ascii="仿宋_GB2312" w:hAnsi="宋体" w:cs="宋体"/>
                <w:color w:val="000000"/>
                <w:kern w:val="0"/>
                <w:sz w:val="21"/>
                <w:szCs w:val="21"/>
              </w:rPr>
              <w:t>责令暂停招生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noWrap w:val="0"/>
            <w:vAlign w:val="top"/>
          </w:tcPr>
          <w:p>
            <w:pPr>
              <w:adjustRightInd w:val="0"/>
              <w:snapToGrid w:val="0"/>
              <w:spacing w:line="240" w:lineRule="exact"/>
              <w:jc w:val="center"/>
              <w:rPr>
                <w:rFonts w:hint="eastAsia" w:ascii="仿宋_GB2312"/>
                <w:b/>
                <w:szCs w:val="21"/>
              </w:rPr>
            </w:pPr>
          </w:p>
        </w:tc>
        <w:tc>
          <w:tcPr>
            <w:tcW w:w="2143" w:type="dxa"/>
            <w:vMerge w:val="continue"/>
            <w:noWrap w:val="0"/>
            <w:vAlign w:val="center"/>
          </w:tcPr>
          <w:p>
            <w:pPr>
              <w:widowControl/>
              <w:spacing w:line="240" w:lineRule="exact"/>
              <w:jc w:val="left"/>
              <w:rPr>
                <w:rFonts w:hint="eastAsia" w:ascii="仿宋_GB2312" w:hAnsi="宋体" w:cs="宋体"/>
                <w:color w:val="000000"/>
                <w:kern w:val="0"/>
                <w:szCs w:val="21"/>
              </w:rPr>
            </w:pPr>
          </w:p>
        </w:tc>
        <w:tc>
          <w:tcPr>
            <w:tcW w:w="5269" w:type="dxa"/>
            <w:vMerge w:val="continue"/>
            <w:noWrap w:val="0"/>
            <w:vAlign w:val="center"/>
          </w:tcPr>
          <w:p>
            <w:pPr>
              <w:widowControl/>
              <w:spacing w:line="240" w:lineRule="exact"/>
              <w:jc w:val="left"/>
              <w:rPr>
                <w:rFonts w:hint="eastAsia" w:ascii="仿宋_GB2312"/>
                <w:b/>
                <w:szCs w:val="21"/>
              </w:rPr>
            </w:pPr>
          </w:p>
        </w:tc>
        <w:tc>
          <w:tcPr>
            <w:tcW w:w="2991" w:type="dxa"/>
            <w:noWrap w:val="0"/>
            <w:vAlign w:val="center"/>
          </w:tcPr>
          <w:p>
            <w:pPr>
              <w:widowControl/>
              <w:spacing w:line="240" w:lineRule="exact"/>
              <w:rPr>
                <w:rFonts w:hint="eastAsia" w:ascii="仿宋_GB2312" w:hAnsi="宋体" w:cs="宋体"/>
                <w:kern w:val="0"/>
                <w:szCs w:val="21"/>
              </w:rPr>
            </w:pPr>
            <w:r>
              <w:rPr>
                <w:rFonts w:hint="eastAsia" w:ascii="仿宋_GB2312" w:hAnsi="宋体" w:cs="宋体"/>
                <w:color w:val="000000"/>
                <w:kern w:val="0"/>
                <w:sz w:val="21"/>
                <w:szCs w:val="21"/>
              </w:rPr>
              <w:t>对民办学校，情节严重，造成严重危害后果或不良社会影响的</w:t>
            </w:r>
          </w:p>
        </w:tc>
        <w:tc>
          <w:tcPr>
            <w:tcW w:w="3136" w:type="dxa"/>
            <w:noWrap w:val="0"/>
            <w:vAlign w:val="center"/>
          </w:tcPr>
          <w:p>
            <w:pPr>
              <w:widowControl/>
              <w:spacing w:line="240" w:lineRule="exact"/>
              <w:rPr>
                <w:rFonts w:hint="eastAsia" w:ascii="仿宋_GB2312" w:hAnsi="宋体" w:cs="宋体"/>
                <w:kern w:val="0"/>
                <w:szCs w:val="21"/>
              </w:rPr>
            </w:pPr>
            <w:r>
              <w:rPr>
                <w:rFonts w:hint="eastAsia" w:ascii="仿宋_GB2312" w:hAnsi="宋体" w:cs="宋体"/>
                <w:color w:val="000000"/>
                <w:kern w:val="0"/>
                <w:sz w:val="21"/>
                <w:szCs w:val="21"/>
              </w:rPr>
              <w:t>吊销办学许可证，并由教育行政部门责令负有责任的领导人员和直接责任人员5年内不得从事学校管理事务</w:t>
            </w:r>
          </w:p>
        </w:tc>
      </w:tr>
    </w:tbl>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spacing w:line="360" w:lineRule="auto"/>
        <w:jc w:val="center"/>
        <w:rPr>
          <w:rFonts w:ascii="黑体" w:hAnsi="Calibri" w:eastAsia="黑体"/>
          <w:szCs w:val="32"/>
        </w:rPr>
      </w:pPr>
      <w:r>
        <w:rPr>
          <w:rFonts w:hint="eastAsia" w:ascii="黑体" w:hAnsi="Calibri" w:eastAsia="黑体"/>
          <w:szCs w:val="32"/>
        </w:rPr>
        <w:t>（二）民办教育类</w:t>
      </w:r>
    </w:p>
    <w:tbl>
      <w:tblPr>
        <w:tblStyle w:val="82"/>
        <w:tblW w:w="14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143"/>
        <w:gridCol w:w="4687"/>
        <w:gridCol w:w="2871"/>
        <w:gridCol w:w="3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602" w:type="dxa"/>
            <w:noWrap/>
            <w:vAlign w:val="center"/>
          </w:tcPr>
          <w:p>
            <w:pPr>
              <w:adjustRightInd w:val="0"/>
              <w:snapToGrid w:val="0"/>
              <w:spacing w:line="300" w:lineRule="exact"/>
              <w:jc w:val="center"/>
              <w:rPr>
                <w:rFonts w:hint="eastAsia" w:ascii="仿宋_GB2312" w:hAnsi="Calibri"/>
                <w:b/>
                <w:sz w:val="24"/>
                <w:szCs w:val="22"/>
              </w:rPr>
            </w:pPr>
            <w:r>
              <w:rPr>
                <w:rFonts w:hint="eastAsia" w:ascii="仿宋_GB2312" w:hAnsi="Calibri"/>
                <w:b/>
                <w:sz w:val="24"/>
                <w:szCs w:val="22"/>
              </w:rPr>
              <w:t>序号</w:t>
            </w:r>
          </w:p>
        </w:tc>
        <w:tc>
          <w:tcPr>
            <w:tcW w:w="2143" w:type="dxa"/>
            <w:noWrap/>
            <w:vAlign w:val="center"/>
          </w:tcPr>
          <w:p>
            <w:pPr>
              <w:adjustRightInd w:val="0"/>
              <w:snapToGrid w:val="0"/>
              <w:spacing w:line="300" w:lineRule="exact"/>
              <w:jc w:val="center"/>
              <w:rPr>
                <w:rFonts w:hint="eastAsia" w:ascii="仿宋_GB2312" w:hAnsi="Calibri"/>
                <w:b/>
                <w:sz w:val="24"/>
                <w:szCs w:val="22"/>
              </w:rPr>
            </w:pPr>
            <w:r>
              <w:rPr>
                <w:rFonts w:hint="eastAsia" w:ascii="仿宋_GB2312" w:hAnsi="Calibri"/>
                <w:b/>
                <w:sz w:val="24"/>
                <w:szCs w:val="22"/>
              </w:rPr>
              <w:t>违法行为</w:t>
            </w:r>
          </w:p>
        </w:tc>
        <w:tc>
          <w:tcPr>
            <w:tcW w:w="4687" w:type="dxa"/>
            <w:noWrap/>
            <w:vAlign w:val="center"/>
          </w:tcPr>
          <w:p>
            <w:pPr>
              <w:adjustRightInd w:val="0"/>
              <w:snapToGrid w:val="0"/>
              <w:spacing w:line="300" w:lineRule="exact"/>
              <w:jc w:val="center"/>
              <w:rPr>
                <w:rFonts w:hint="eastAsia" w:ascii="仿宋_GB2312" w:hAnsi="Calibri"/>
                <w:b/>
                <w:sz w:val="24"/>
                <w:szCs w:val="22"/>
              </w:rPr>
            </w:pPr>
            <w:r>
              <w:rPr>
                <w:rFonts w:hint="eastAsia" w:ascii="仿宋_GB2312" w:hAnsi="Calibri"/>
                <w:b/>
                <w:sz w:val="24"/>
                <w:szCs w:val="22"/>
              </w:rPr>
              <w:t>处罚依据</w:t>
            </w:r>
          </w:p>
        </w:tc>
        <w:tc>
          <w:tcPr>
            <w:tcW w:w="2871" w:type="dxa"/>
            <w:noWrap/>
            <w:vAlign w:val="center"/>
          </w:tcPr>
          <w:p>
            <w:pPr>
              <w:adjustRightInd w:val="0"/>
              <w:snapToGrid w:val="0"/>
              <w:spacing w:line="300" w:lineRule="exact"/>
              <w:jc w:val="center"/>
              <w:rPr>
                <w:rFonts w:hint="eastAsia" w:ascii="仿宋_GB2312" w:hAnsi="Calibri"/>
                <w:b/>
                <w:sz w:val="24"/>
                <w:szCs w:val="22"/>
              </w:rPr>
            </w:pPr>
            <w:r>
              <w:rPr>
                <w:rFonts w:hint="eastAsia" w:ascii="仿宋_GB2312" w:hAnsi="Calibri"/>
                <w:b/>
                <w:sz w:val="24"/>
                <w:szCs w:val="22"/>
              </w:rPr>
              <w:t>适用情形</w:t>
            </w:r>
          </w:p>
        </w:tc>
        <w:tc>
          <w:tcPr>
            <w:tcW w:w="3838" w:type="dxa"/>
            <w:noWrap/>
            <w:vAlign w:val="center"/>
          </w:tcPr>
          <w:p>
            <w:pPr>
              <w:adjustRightInd w:val="0"/>
              <w:snapToGrid w:val="0"/>
              <w:spacing w:line="300" w:lineRule="exact"/>
              <w:jc w:val="center"/>
              <w:rPr>
                <w:rFonts w:hint="eastAsia" w:ascii="仿宋_GB2312" w:hAnsi="Calibri"/>
                <w:b/>
                <w:sz w:val="24"/>
                <w:szCs w:val="22"/>
              </w:rPr>
            </w:pPr>
            <w:r>
              <w:rPr>
                <w:rFonts w:hint="eastAsia" w:ascii="仿宋_GB2312" w:hAnsi="Calibri"/>
                <w:b/>
                <w:sz w:val="24"/>
                <w:szCs w:val="22"/>
              </w:rPr>
              <w:t>自由裁量基准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02" w:type="dxa"/>
            <w:vMerge w:val="restart"/>
            <w:noWrap/>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w:t>
            </w:r>
          </w:p>
        </w:tc>
        <w:tc>
          <w:tcPr>
            <w:tcW w:w="2143" w:type="dxa"/>
            <w:vMerge w:val="restart"/>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擅自分立、合并民办学校的行为</w:t>
            </w:r>
          </w:p>
        </w:tc>
        <w:tc>
          <w:tcPr>
            <w:tcW w:w="4687" w:type="dxa"/>
            <w:vMerge w:val="restart"/>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一）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w:t>
            </w:r>
            <w:r>
              <w:rPr>
                <w:rFonts w:hint="eastAsia" w:ascii="宋体" w:hAnsi="宋体" w:cs="宋体"/>
                <w:kern w:val="0"/>
                <w:sz w:val="21"/>
                <w:szCs w:val="21"/>
              </w:rPr>
              <w:t> </w:t>
            </w:r>
          </w:p>
        </w:tc>
        <w:tc>
          <w:tcPr>
            <w:tcW w:w="2871" w:type="dxa"/>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color w:val="000000"/>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2" w:type="dxa"/>
            <w:vMerge w:val="restart"/>
            <w:noWrap/>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w:t>
            </w:r>
          </w:p>
        </w:tc>
        <w:tc>
          <w:tcPr>
            <w:tcW w:w="2143"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color w:val="000000"/>
                <w:kern w:val="0"/>
                <w:sz w:val="21"/>
                <w:szCs w:val="21"/>
              </w:rPr>
              <w:t>擅自改变民办学校名称、层次、类别和举办者的行为</w:t>
            </w: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二）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二）擅自改变民办学校名称、层次、类别和举办者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line="300" w:lineRule="exact"/>
              <w:rPr>
                <w:rFonts w:hint="eastAsia" w:ascii="仿宋_GB2312" w:hAnsi="Calibri"/>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line="300" w:lineRule="exact"/>
              <w:rPr>
                <w:rFonts w:hint="eastAsia" w:ascii="仿宋_GB2312" w:hAnsi="Calibri"/>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line="300" w:lineRule="exact"/>
              <w:rPr>
                <w:rFonts w:hint="eastAsia" w:ascii="仿宋_GB2312" w:hAnsi="Calibri"/>
                <w:sz w:val="21"/>
                <w:szCs w:val="21"/>
              </w:rPr>
            </w:pP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line="300" w:lineRule="exact"/>
              <w:rPr>
                <w:rFonts w:hint="eastAsia" w:ascii="仿宋_GB2312" w:hAnsi="Calibri"/>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line="300" w:lineRule="exact"/>
              <w:rPr>
                <w:rFonts w:hint="eastAsia" w:ascii="仿宋_GB2312" w:hAnsi="Calibri"/>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02" w:type="dxa"/>
            <w:vMerge w:val="restart"/>
            <w:noWrap/>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3</w:t>
            </w:r>
          </w:p>
        </w:tc>
        <w:tc>
          <w:tcPr>
            <w:tcW w:w="2143"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民办学校发布虚假招生简章或者广告、骗取钱财的行为</w:t>
            </w:r>
            <w:r>
              <w:rPr>
                <w:rFonts w:hint="eastAsia" w:ascii="宋体" w:hAnsi="宋体" w:cs="宋体"/>
                <w:kern w:val="0"/>
                <w:sz w:val="21"/>
                <w:szCs w:val="21"/>
              </w:rPr>
              <w:t> </w:t>
            </w: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三）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三) 发布虚假招生简章或者广告，骗取钱财的。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02" w:type="dxa"/>
            <w:vMerge w:val="restart"/>
            <w:noWrap/>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4</w:t>
            </w:r>
          </w:p>
        </w:tc>
        <w:tc>
          <w:tcPr>
            <w:tcW w:w="2143"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民办学校非法颁发或者伪造学历证书、结业证书、培训证书、职业资格证书的行为</w:t>
            </w:r>
            <w:r>
              <w:rPr>
                <w:rFonts w:hint="eastAsia" w:ascii="宋体" w:hAnsi="宋体" w:cs="宋体"/>
                <w:kern w:val="0"/>
                <w:sz w:val="21"/>
                <w:szCs w:val="21"/>
              </w:rPr>
              <w:t>  </w:t>
            </w:r>
          </w:p>
        </w:tc>
        <w:tc>
          <w:tcPr>
            <w:tcW w:w="4687" w:type="dxa"/>
            <w:vMerge w:val="restart"/>
            <w:noWrap/>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四）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四)非法颁发或者伪造学历证书、结业证书、培训证书、职业资格证书的。</w:t>
            </w:r>
            <w:r>
              <w:rPr>
                <w:rFonts w:hint="eastAsia" w:ascii="宋体" w:hAnsi="宋体" w:cs="宋体"/>
                <w:kern w:val="0"/>
                <w:sz w:val="21"/>
                <w:szCs w:val="21"/>
              </w:rPr>
              <w:t> </w:t>
            </w: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02" w:type="dxa"/>
            <w:vMerge w:val="restart"/>
            <w:noWrap/>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5</w:t>
            </w:r>
          </w:p>
        </w:tc>
        <w:tc>
          <w:tcPr>
            <w:tcW w:w="2143"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民办学校管理混乱严重影响教育教学，产生恶劣社会影响</w:t>
            </w:r>
            <w:r>
              <w:rPr>
                <w:rFonts w:hint="eastAsia" w:ascii="宋体" w:hAnsi="宋体" w:cs="宋体"/>
                <w:kern w:val="0"/>
                <w:sz w:val="21"/>
                <w:szCs w:val="21"/>
              </w:rPr>
              <w:t> </w:t>
            </w: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五）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五) 管理混乱严重影响教育教学，产生恶劣社会影响的。</w:t>
            </w:r>
            <w:r>
              <w:rPr>
                <w:rFonts w:hint="eastAsia" w:ascii="宋体" w:hAnsi="宋体" w:cs="宋体"/>
                <w:kern w:val="0"/>
                <w:sz w:val="21"/>
                <w:szCs w:val="21"/>
              </w:rPr>
              <w:t> </w:t>
            </w: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 xml:space="preserve">《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6</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民办学校提交虚假证明文件或者采取其他欺诈手段隐瞒重要事实骗取办学许可证的行为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六）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六) 提交虚假证明文件或者采取其他欺诈手段隐瞒重要事实骗取办学许可证的。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7</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民办学校违法伪造、变造、买卖、出租、出借办学许可证的行为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七）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七) 伪造、变造、买卖、出租、出借办学许可证的。</w:t>
            </w:r>
          </w:p>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8</w:t>
            </w:r>
          </w:p>
          <w:p>
            <w:pPr>
              <w:adjustRightInd w:val="0"/>
              <w:snapToGrid w:val="0"/>
              <w:spacing w:line="300" w:lineRule="exact"/>
              <w:jc w:val="center"/>
              <w:rPr>
                <w:rFonts w:hint="eastAsia" w:ascii="仿宋_GB2312" w:hAnsi="Calibri"/>
                <w:b/>
                <w:sz w:val="21"/>
                <w:szCs w:val="21"/>
              </w:rPr>
            </w:pPr>
          </w:p>
          <w:p>
            <w:pPr>
              <w:adjustRightInd w:val="0"/>
              <w:snapToGrid w:val="0"/>
              <w:spacing w:line="300" w:lineRule="exact"/>
              <w:jc w:val="center"/>
              <w:rPr>
                <w:rFonts w:hint="eastAsia" w:ascii="仿宋_GB2312" w:hAnsi="Calibri"/>
                <w:b/>
                <w:sz w:val="21"/>
                <w:szCs w:val="21"/>
              </w:rPr>
            </w:pP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民办学校恶意终止办学、抽逃资金或者挪用办学经费的行为</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第（八）项：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八)恶意终止办学、抽逃资金或者挪用办学经费的。</w:t>
            </w:r>
            <w:r>
              <w:rPr>
                <w:rFonts w:hint="eastAsia" w:ascii="宋体" w:hAnsi="宋体" w:cs="宋体"/>
                <w:kern w:val="0"/>
                <w:sz w:val="21"/>
                <w:szCs w:val="21"/>
              </w:rPr>
              <w:t> </w:t>
            </w: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9</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民办学校举办者及实际控制人、决策机构或者监督机构组成人员利用办学非法集资，或者收取与入学关联的费用</w:t>
            </w:r>
          </w:p>
          <w:p>
            <w:pPr>
              <w:widowControl/>
              <w:adjustRightInd w:val="0"/>
              <w:snapToGrid w:val="0"/>
              <w:spacing w:before="100" w:after="100" w:line="300" w:lineRule="exact"/>
              <w:textAlignment w:val="center"/>
              <w:rPr>
                <w:rFonts w:hint="eastAsia" w:ascii="仿宋_GB2312" w:hAnsi="宋体" w:cs="宋体"/>
                <w:kern w:val="0"/>
                <w:sz w:val="21"/>
                <w:szCs w:val="21"/>
              </w:rPr>
            </w:pPr>
          </w:p>
        </w:tc>
        <w:tc>
          <w:tcPr>
            <w:tcW w:w="4687"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一）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w:t>
            </w:r>
            <w:r>
              <w:rPr>
                <w:rFonts w:hint="eastAsia" w:ascii="宋体" w:hAnsi="宋体" w:cs="宋体"/>
                <w:kern w:val="0"/>
                <w:sz w:val="21"/>
                <w:szCs w:val="21"/>
              </w:rPr>
              <w:t> </w:t>
            </w:r>
          </w:p>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10</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民办学校举办者及实际控制人、决策机构或者监督机构组成人员未按时、足额履行出资义务，或者抽逃出资、挪用办学经费的行为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二）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二）未按时、足额履行出资义务，或者抽逃出资、挪用办学经费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11</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民办学校举办者及实际控制人、决策机构或者监督机构组成人员侵占学校法人财产或者非法从学校获取利益的行为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三）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三）侵占学校法人财产或者非法从学校获取利益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12</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民办学校举办者及实际控制人、决策机构或者监督机构组成人员与实施义务教育的民办学校进行关联交易，或者与其他民办学校进行关联交易损害国家利益、学校利益和师生权益的行为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四）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四）与实施义务教育的民办学校进行关联交易，或者与其他民办学校进行关联交易损害国家利益、学校利益和师生权益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13</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民办学校举办者及实际控制人、决策机构或者监督机构组成人员伪造、变造、买卖、出租、出借办学许可证的行为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五）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五）伪造、变造、买卖、出租、出借办学许可证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情节轻微，危害后果轻微的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情节严重，造成一定危害后果或不良社会影响的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情节特别严重，造成严重危害后果或恶劣社会影响的</w:t>
            </w:r>
          </w:p>
        </w:tc>
        <w:tc>
          <w:tcPr>
            <w:tcW w:w="3838" w:type="dxa"/>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14</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民办学校举办者及实际控制人、决策机构或者监督机构组成人员干扰学校办学秩序或者非法干预学校决策、管理的行为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六）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六）干扰学校办学秩序或者非法干预学校决策、管理的。</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line="300" w:lineRule="exact"/>
              <w:rPr>
                <w:rFonts w:hint="eastAsia" w:ascii="仿宋_GB2312" w:hAnsi="Calibri"/>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line="300" w:lineRule="exact"/>
              <w:rPr>
                <w:rFonts w:hint="eastAsia" w:ascii="仿宋_GB2312" w:hAnsi="Calibri"/>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15</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民办学校举办者及实际控制人、决策机构或者监督机构组成人员擅自变更学校名称、层次、类型和举办者的行为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七）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七）擅自变更学校名称、层次、类型和举办者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16</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民办学校举办者及实际控制人、决策机构或者监督机构组成人员有其他危害学校稳定和安全、侵犯学校法人权利或者损害教职工、受教育者权益的行为</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二条第（八）项：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八）有其他危害学校稳定和安全、侵犯学校法人权利或者损害教职工、受教育者权益的行为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没收违法所得；1至5年内不得新成为民办学校举办者或实际控制人、决策机构或者监督机构组成人员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没收违法所得；永久不得新成为民办学校举办者或实际控制人、决策机构或者监督机构组成人员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17</w:t>
            </w:r>
          </w:p>
        </w:tc>
        <w:tc>
          <w:tcPr>
            <w:tcW w:w="2143" w:type="dxa"/>
            <w:vMerge w:val="restart"/>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同时举办或者实际控制多所民办学校的举办者或者实际控制人违反《中华人民共和国民办教育促进法实施条例》规定的行为</w:t>
            </w:r>
          </w:p>
        </w:tc>
        <w:tc>
          <w:tcPr>
            <w:tcW w:w="4687" w:type="dxa"/>
            <w:vMerge w:val="restart"/>
            <w:noWrap w:val="0"/>
            <w:vAlign w:val="center"/>
          </w:tcPr>
          <w:p>
            <w:pPr>
              <w:widowControl/>
              <w:spacing w:before="100" w:after="100" w:line="30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中华人民共和国民办教育促进法实施条例》第六十四条第二款：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p>
            <w:pPr>
              <w:widowControl/>
              <w:spacing w:before="100" w:after="100" w:line="300" w:lineRule="exact"/>
              <w:jc w:val="left"/>
              <w:rPr>
                <w:rFonts w:hint="eastAsia" w:ascii="仿宋_GB2312" w:hAnsi="宋体" w:cs="宋体"/>
                <w:color w:val="000000"/>
                <w:kern w:val="0"/>
                <w:sz w:val="21"/>
                <w:szCs w:val="21"/>
              </w:rPr>
            </w:pPr>
          </w:p>
        </w:tc>
        <w:tc>
          <w:tcPr>
            <w:tcW w:w="2871" w:type="dxa"/>
            <w:noWrap w:val="0"/>
            <w:vAlign w:val="center"/>
          </w:tcPr>
          <w:p>
            <w:pPr>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情节严重、造成恶劣影响的，拒不整改或者整改后仍发生同类问题的</w:t>
            </w:r>
          </w:p>
        </w:tc>
        <w:tc>
          <w:tcPr>
            <w:tcW w:w="3838" w:type="dxa"/>
            <w:noWrap w:val="0"/>
            <w:vAlign w:val="center"/>
          </w:tcPr>
          <w:p>
            <w:pPr>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1至5年内不得举办新的民办学校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10年内不得举办新的民办学校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18</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民办学校违背国家教育方针，偏离社会主义办学方向，或者未保障学校党组织履行职责的行为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一）项：民办学校有下列情形之一的，依照民办教育促进法第六十二条规定给予处罚：（一）违背国家教育方针，偏离社会主义办学方向，或者未保障学校党组织履行职责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w:t>
            </w:r>
            <w:r>
              <w:rPr>
                <w:rFonts w:hint="eastAsia" w:ascii="仿宋_GB2312" w:hAnsi="宋体" w:cs="宋体"/>
                <w:spacing w:val="-11"/>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spacing w:val="-11"/>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19</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民办学校违反法律、行政法规和国家有关规定开展教育教学活动的行为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二）项：民办学校有下列情形之一的，依照民办教育促进法第六十二条规定给予处罚：（二）违反法律、行政法规和国家有关规定开展教育教学活动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p>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20</w:t>
            </w:r>
          </w:p>
        </w:tc>
        <w:tc>
          <w:tcPr>
            <w:tcW w:w="2143"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民办学校理事会、董事会或者其他形式决策机构未依法履行职责的行为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三）项：民办学校有下列情形之一的，依照民办教育促进法第六十二条规定给予处罚：（三）理事会、董事会或者其他形式决策机构未依法履行职责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p>
            <w:pPr>
              <w:spacing w:line="300" w:lineRule="exact"/>
              <w:rPr>
                <w:rFonts w:hint="eastAsia" w:ascii="仿宋_GB2312" w:hAnsi="宋体" w:cs="宋体"/>
                <w:color w:val="000000"/>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21</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民办学校教学条件明显不能满足教学要求、教育教学质量低下，未及时采取措施的行为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四）项：民办学校有下列情形之一的，依照民办教育促进法第六十二条规定给予处罚：（四）教学条件明显不能满足教学要求、教育教学质量低下，未及时采取措施的。</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22</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p>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民办学校校舍或者其他教育教学设施、设备存在重大安全隐患，未及时采取措施的行为</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五）项：民办学校有下列情形之一的，依照民办教育促进法第六十二条规定给予处罚：(五)校舍、其他教育教学设施设备存在重大安全隐患，未及时采取措施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23</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民办学校侵犯受教育者的合法权益，产生恶劣社会影响的行为</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《中华人民共和国民办教育促进法实施条例》第六十三条第（六）项：民办学校有下列情形之一的，依照民办教育促进法第六十二条规定给予处罚：（六）侵犯受教育者的合法权益，产生恶劣社会影响的。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24</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民办学校违反国家规定聘任、解聘教师，或者未依法保障教职工待遇的行为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七）项：民办学校有下列情形之一的，依照民办教育促进法第六十二条规定给予处罚：（七）违反国家规定聘任、解聘教师，或者未依法保障教职工待遇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25</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民办学校违反规定招生，或者在招生过程中弄虚作假的行为</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《中华人民共和国民办教育促进法实施条例》第六十三条第（八）项：民办学校有下列情形之一的，依照民办教育促进法第六十二条规定给予处罚：（八）违反规定招生，或者在招生过程中弄虚作假的。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widowControl/>
              <w:spacing w:line="300" w:lineRule="exact"/>
              <w:jc w:val="lef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jc w:val="lef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jc w:val="lef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26</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民办学校超出办学许可范围，擅自改变办学地址或者设立分校的行为</w:t>
            </w:r>
            <w:r>
              <w:rPr>
                <w:rFonts w:hint="eastAsia" w:ascii="宋体" w:hAnsi="宋体" w:cs="宋体"/>
                <w:kern w:val="0"/>
                <w:sz w:val="21"/>
                <w:szCs w:val="21"/>
              </w:rPr>
              <w:t> </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《中华人民共和国民办教育促进法实施条例》第六十三条第（九）项：民办学校有下列情形之一的，依照民办教育促进法第六十二条规定给予处罚：（九）超出办学许可范围，擅自改变办学地址或者设立分校的。</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27</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民办学校未依法履行公示办学条件和教育质量有关材料、财务状况等信息披露义务，或者公示的材料不真实的行为</w:t>
            </w: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十）项：民办学校有下列情形之一的，依照民办教育促进法第六十二条规定给予处罚：（十）未依法履行公示办学条件和教育质量有关材料、财务状况等信息披露义务，或者公示的材料不真实的。</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color w:val="000000"/>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02" w:type="dxa"/>
            <w:vMerge w:val="restart"/>
            <w:noWrap w:val="0"/>
            <w:vAlign w:val="center"/>
          </w:tcPr>
          <w:p>
            <w:pPr>
              <w:adjustRightInd w:val="0"/>
              <w:snapToGrid w:val="0"/>
              <w:spacing w:line="300" w:lineRule="exact"/>
              <w:rPr>
                <w:rFonts w:hint="eastAsia" w:ascii="仿宋_GB2312" w:hAnsi="Calibri"/>
                <w:b/>
                <w:sz w:val="21"/>
                <w:szCs w:val="21"/>
              </w:rPr>
            </w:pPr>
            <w:r>
              <w:rPr>
                <w:rFonts w:hint="eastAsia" w:ascii="仿宋_GB2312" w:hAnsi="Calibri"/>
                <w:b/>
                <w:sz w:val="21"/>
                <w:szCs w:val="21"/>
              </w:rPr>
              <w:t>28</w:t>
            </w:r>
          </w:p>
        </w:tc>
        <w:tc>
          <w:tcPr>
            <w:tcW w:w="2143" w:type="dxa"/>
            <w:vMerge w:val="restart"/>
            <w:noWrap w:val="0"/>
            <w:vAlign w:val="center"/>
          </w:tcPr>
          <w:p>
            <w:pPr>
              <w:widowControl/>
              <w:adjustRightInd w:val="0"/>
              <w:snapToGrid w:val="0"/>
              <w:spacing w:before="100" w:after="100" w:line="300" w:lineRule="exact"/>
              <w:textAlignment w:val="center"/>
              <w:rPr>
                <w:rFonts w:hint="eastAsia" w:ascii="仿宋_GB2312" w:hAnsi="宋体" w:cs="宋体"/>
                <w:kern w:val="0"/>
                <w:sz w:val="21"/>
                <w:szCs w:val="21"/>
              </w:rPr>
            </w:pPr>
            <w:r>
              <w:rPr>
                <w:rFonts w:hint="eastAsia" w:ascii="仿宋_GB2312" w:hAnsi="宋体" w:cs="宋体"/>
                <w:kern w:val="0"/>
                <w:sz w:val="21"/>
                <w:szCs w:val="21"/>
              </w:rPr>
              <w:t>民办学校未按照国家统一的会计制度进行会计核算、编制财务会计报告，财务、资产管理混乱，或者违反法律、法规增加收费项目、提高收费标准的行为</w:t>
            </w:r>
            <w:r>
              <w:rPr>
                <w:rFonts w:hint="eastAsia" w:ascii="宋体" w:hAnsi="宋体" w:cs="宋体"/>
                <w:kern w:val="0"/>
                <w:sz w:val="21"/>
                <w:szCs w:val="21"/>
              </w:rPr>
              <w:t> </w:t>
            </w:r>
          </w:p>
          <w:p>
            <w:pPr>
              <w:widowControl/>
              <w:adjustRightInd w:val="0"/>
              <w:snapToGrid w:val="0"/>
              <w:spacing w:before="100" w:after="100" w:line="300" w:lineRule="exact"/>
              <w:textAlignment w:val="center"/>
              <w:rPr>
                <w:rFonts w:hint="eastAsia" w:ascii="仿宋_GB2312" w:hAnsi="宋体" w:cs="宋体"/>
                <w:kern w:val="0"/>
                <w:sz w:val="21"/>
                <w:szCs w:val="21"/>
              </w:rPr>
            </w:pPr>
          </w:p>
        </w:tc>
        <w:tc>
          <w:tcPr>
            <w:tcW w:w="4687" w:type="dxa"/>
            <w:vMerge w:val="restart"/>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实施条例》第六十三条第（十一）项：民办学校有下列情形之一的，依照民办教育促进法第六十二条规定给予处罚：（十一）未按照国家统一的会计制度进行会计核算、编制财务会计报告，财务、资产管理混乱，或者违反法律、法规增加收费项目、提高收费标准的。</w:t>
            </w:r>
            <w:r>
              <w:rPr>
                <w:rFonts w:hint="eastAsia" w:ascii="宋体" w:hAnsi="宋体" w:cs="宋体"/>
                <w:kern w:val="0"/>
                <w:sz w:val="21"/>
                <w:szCs w:val="21"/>
              </w:rPr>
              <w:t> </w:t>
            </w:r>
          </w:p>
          <w:p>
            <w:pPr>
              <w:widowControl/>
              <w:adjustRightInd w:val="0"/>
              <w:snapToGrid w:val="0"/>
              <w:spacing w:before="100" w:after="100" w:line="300" w:lineRule="exact"/>
              <w:jc w:val="left"/>
              <w:textAlignment w:val="center"/>
              <w:rPr>
                <w:rFonts w:hint="eastAsia" w:ascii="仿宋_GB2312" w:hAnsi="宋体" w:cs="宋体"/>
                <w:kern w:val="0"/>
                <w:sz w:val="21"/>
                <w:szCs w:val="21"/>
              </w:rPr>
            </w:pPr>
            <w:r>
              <w:rPr>
                <w:rFonts w:hint="eastAsia" w:ascii="仿宋_GB2312" w:hAnsi="宋体" w:cs="宋体"/>
                <w:kern w:val="0"/>
                <w:sz w:val="21"/>
                <w:szCs w:val="21"/>
              </w:rPr>
              <w:t>《中华人民共和国民办教育促进法》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宋体" w:hAnsi="宋体" w:cs="宋体"/>
                <w:kern w:val="0"/>
                <w:sz w:val="21"/>
                <w:szCs w:val="21"/>
              </w:rPr>
              <w:t> </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adjustRightInd w:val="0"/>
              <w:snapToGrid w:val="0"/>
              <w:spacing w:before="100" w:after="100" w:line="300" w:lineRule="exact"/>
              <w:jc w:val="left"/>
              <w:textAlignment w:val="center"/>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p>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29</w:t>
            </w:r>
          </w:p>
        </w:tc>
        <w:tc>
          <w:tcPr>
            <w:tcW w:w="2143" w:type="dxa"/>
            <w:vMerge w:val="restart"/>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民办学校有其他管理混乱严重影响教育教学的行为</w:t>
            </w:r>
          </w:p>
        </w:tc>
        <w:tc>
          <w:tcPr>
            <w:tcW w:w="4687" w:type="dxa"/>
            <w:vMerge w:val="restart"/>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《中华人民共和国民办教育促进法实施条例》第六十三条第（十二）项：民办学校有下列情形之一的，依照民办教育促进法第六十二条规定给予处罚：(十二)有其他管理混乱严重影响教育教学的行为的。</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责令停止招生；没收违法所得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吊销办学许可证；没收违法所得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restart"/>
            <w:noWrap w:val="0"/>
            <w:vAlign w:val="center"/>
          </w:tcPr>
          <w:p>
            <w:pPr>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四条第一款：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w:t>
            </w:r>
            <w:r>
              <w:rPr>
                <w:rFonts w:hint="eastAsia" w:ascii="仿宋_GB2312" w:hAnsi="Calibri"/>
                <w:sz w:val="21"/>
                <w:szCs w:val="22"/>
              </w:rPr>
              <w:t>情节特别严重，社会影响恶劣的，</w:t>
            </w:r>
            <w:r>
              <w:rPr>
                <w:rFonts w:hint="eastAsia" w:ascii="仿宋_GB2312" w:hAnsi="宋体" w:cs="宋体"/>
                <w:color w:val="000000"/>
                <w:kern w:val="0"/>
                <w:sz w:val="21"/>
                <w:szCs w:val="21"/>
              </w:rPr>
              <w:t>永久不得新成为民办学校决策机构负责人或者校长。</w:t>
            </w: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对学校决策机构负责人、校长及直接责任人予以警告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1至5年内不得新成为民办学校决策机构负责人或者校长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情节特别严重，造成严重危害后果或恶劣社会影响的</w:t>
            </w:r>
          </w:p>
        </w:tc>
        <w:tc>
          <w:tcPr>
            <w:tcW w:w="3838" w:type="dxa"/>
            <w:noWrap w:val="0"/>
            <w:vAlign w:val="center"/>
          </w:tcPr>
          <w:p>
            <w:pPr>
              <w:widowControl/>
              <w:spacing w:line="30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永久不得新成为民办学校决策机构负责人或者校长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p>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30</w:t>
            </w:r>
          </w:p>
        </w:tc>
        <w:tc>
          <w:tcPr>
            <w:tcW w:w="2143" w:type="dxa"/>
            <w:vMerge w:val="restart"/>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违反国家有关规定擅自举办民办学校的行为</w:t>
            </w:r>
          </w:p>
        </w:tc>
        <w:tc>
          <w:tcPr>
            <w:tcW w:w="4687" w:type="dxa"/>
            <w:vMerge w:val="restart"/>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以违法所得一倍以上五倍以下罚款；构成违反治安管理行为的，由公安机关依法给予治安管理处罚；构成犯罪的，依法追究刑事责任。</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责令停止办学、退还所收费用，处违法所得一倍以上二倍以下罚款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责令停止办学、退还所收费用，处违法所得二倍以上四倍以下罚款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rPr>
                <w:rFonts w:hint="eastAsia" w:ascii="仿宋_GB2312" w:hAnsi="宋体" w:cs="宋体"/>
                <w:kern w:val="0"/>
                <w:sz w:val="21"/>
                <w:szCs w:val="21"/>
              </w:rPr>
            </w:pPr>
          </w:p>
        </w:tc>
        <w:tc>
          <w:tcPr>
            <w:tcW w:w="4687" w:type="dxa"/>
            <w:vMerge w:val="continue"/>
            <w:noWrap w:val="0"/>
            <w:vAlign w:val="center"/>
          </w:tcPr>
          <w:p>
            <w:pPr>
              <w:widowControl/>
              <w:spacing w:line="300" w:lineRule="exac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责令停止办学、退还所收费用，处违法所得四倍以上五倍以下罚款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dxa"/>
            <w:vMerge w:val="restart"/>
            <w:noWrap w:val="0"/>
            <w:vAlign w:val="center"/>
          </w:tcPr>
          <w:p>
            <w:pPr>
              <w:adjustRightInd w:val="0"/>
              <w:snapToGrid w:val="0"/>
              <w:spacing w:line="300" w:lineRule="exact"/>
              <w:jc w:val="center"/>
              <w:rPr>
                <w:rFonts w:hint="eastAsia" w:ascii="仿宋_GB2312" w:hAnsi="Calibri"/>
                <w:b/>
                <w:sz w:val="21"/>
                <w:szCs w:val="21"/>
              </w:rPr>
            </w:pPr>
            <w:r>
              <w:rPr>
                <w:rFonts w:hint="eastAsia" w:ascii="仿宋_GB2312" w:hAnsi="Calibri"/>
                <w:b/>
                <w:sz w:val="21"/>
                <w:szCs w:val="21"/>
              </w:rPr>
              <w:t>31</w:t>
            </w:r>
          </w:p>
        </w:tc>
        <w:tc>
          <w:tcPr>
            <w:tcW w:w="2143" w:type="dxa"/>
            <w:vMerge w:val="restart"/>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违反《中华人民共和国民办教育促进法实施条例》规定举办、参与举办民办学校或者在民办学校筹设期内招生的行为</w:t>
            </w:r>
          </w:p>
        </w:tc>
        <w:tc>
          <w:tcPr>
            <w:tcW w:w="4687" w:type="dxa"/>
            <w:vMerge w:val="restart"/>
            <w:noWrap w:val="0"/>
            <w:vAlign w:val="center"/>
          </w:tcPr>
          <w:p>
            <w:pPr>
              <w:widowControl/>
              <w:spacing w:line="300" w:lineRule="exact"/>
              <w:jc w:val="left"/>
              <w:rPr>
                <w:rFonts w:hint="eastAsia" w:ascii="仿宋_GB2312" w:hAnsi="宋体" w:cs="宋体"/>
                <w:kern w:val="0"/>
                <w:sz w:val="21"/>
                <w:szCs w:val="21"/>
              </w:rPr>
            </w:pPr>
            <w:r>
              <w:rPr>
                <w:rFonts w:hint="eastAsia" w:ascii="仿宋_GB2312" w:hAnsi="宋体" w:cs="宋体"/>
                <w:color w:val="000000"/>
                <w:kern w:val="0"/>
                <w:sz w:val="21"/>
                <w:szCs w:val="21"/>
              </w:rPr>
              <w:t>《中华人民共和国民办教育促进法实施条例》第六十五条：违反本条例规定举办、参与举办民办学校或者在民办学校筹设期内招生的，依照民办教育促进法第六十四条规定给予处罚。</w:t>
            </w: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责令停止办学，处违法所得一倍以上二倍以下罚款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jc w:val="left"/>
              <w:rPr>
                <w:rFonts w:hint="eastAsia" w:ascii="仿宋_GB2312" w:hAnsi="宋体" w:cs="宋体"/>
                <w:kern w:val="0"/>
                <w:sz w:val="21"/>
                <w:szCs w:val="21"/>
              </w:rPr>
            </w:pPr>
          </w:p>
        </w:tc>
        <w:tc>
          <w:tcPr>
            <w:tcW w:w="4687" w:type="dxa"/>
            <w:vMerge w:val="continue"/>
            <w:noWrap w:val="0"/>
            <w:vAlign w:val="center"/>
          </w:tcPr>
          <w:p>
            <w:pPr>
              <w:widowControl/>
              <w:spacing w:line="300" w:lineRule="exact"/>
              <w:jc w:val="lef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责令停止办学，处违法所得二倍以上四倍以下罚款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02" w:type="dxa"/>
            <w:vMerge w:val="continue"/>
            <w:noWrap w:val="0"/>
            <w:vAlign w:val="center"/>
          </w:tcPr>
          <w:p>
            <w:pPr>
              <w:adjustRightInd w:val="0"/>
              <w:snapToGrid w:val="0"/>
              <w:spacing w:line="300" w:lineRule="exact"/>
              <w:jc w:val="center"/>
              <w:rPr>
                <w:rFonts w:hint="eastAsia" w:ascii="仿宋_GB2312" w:hAnsi="Calibri"/>
                <w:b/>
                <w:sz w:val="21"/>
                <w:szCs w:val="21"/>
              </w:rPr>
            </w:pPr>
          </w:p>
        </w:tc>
        <w:tc>
          <w:tcPr>
            <w:tcW w:w="2143" w:type="dxa"/>
            <w:vMerge w:val="continue"/>
            <w:noWrap w:val="0"/>
            <w:vAlign w:val="center"/>
          </w:tcPr>
          <w:p>
            <w:pPr>
              <w:widowControl/>
              <w:spacing w:line="300" w:lineRule="exact"/>
              <w:jc w:val="left"/>
              <w:rPr>
                <w:rFonts w:hint="eastAsia" w:ascii="仿宋_GB2312" w:hAnsi="宋体" w:cs="宋体"/>
                <w:kern w:val="0"/>
                <w:sz w:val="21"/>
                <w:szCs w:val="21"/>
              </w:rPr>
            </w:pPr>
          </w:p>
        </w:tc>
        <w:tc>
          <w:tcPr>
            <w:tcW w:w="4687" w:type="dxa"/>
            <w:vMerge w:val="continue"/>
            <w:noWrap w:val="0"/>
            <w:vAlign w:val="center"/>
          </w:tcPr>
          <w:p>
            <w:pPr>
              <w:widowControl/>
              <w:spacing w:line="300" w:lineRule="exact"/>
              <w:jc w:val="left"/>
              <w:rPr>
                <w:rFonts w:hint="eastAsia" w:ascii="仿宋_GB2312" w:hAnsi="宋体" w:cs="宋体"/>
                <w:kern w:val="0"/>
                <w:sz w:val="21"/>
                <w:szCs w:val="21"/>
              </w:rPr>
            </w:pPr>
          </w:p>
        </w:tc>
        <w:tc>
          <w:tcPr>
            <w:tcW w:w="2871"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情节严重，造成严重后果或恶劣社会影响的</w:t>
            </w:r>
          </w:p>
        </w:tc>
        <w:tc>
          <w:tcPr>
            <w:tcW w:w="3838" w:type="dxa"/>
            <w:noWrap w:val="0"/>
            <w:vAlign w:val="center"/>
          </w:tcPr>
          <w:p>
            <w:pPr>
              <w:widowControl/>
              <w:spacing w:line="300" w:lineRule="exact"/>
              <w:rPr>
                <w:rFonts w:hint="eastAsia" w:ascii="仿宋_GB2312" w:hAnsi="宋体" w:cs="宋体"/>
                <w:kern w:val="0"/>
                <w:sz w:val="21"/>
                <w:szCs w:val="21"/>
              </w:rPr>
            </w:pPr>
            <w:r>
              <w:rPr>
                <w:rFonts w:hint="eastAsia" w:ascii="仿宋_GB2312" w:hAnsi="宋体" w:cs="宋体"/>
                <w:color w:val="000000"/>
                <w:kern w:val="0"/>
                <w:sz w:val="21"/>
                <w:szCs w:val="21"/>
              </w:rPr>
              <w:t>责令停止办学，处违法所得四倍以上五倍以下罚款</w:t>
            </w:r>
          </w:p>
        </w:tc>
      </w:tr>
    </w:tbl>
    <w:p>
      <w:pPr>
        <w:spacing w:line="360" w:lineRule="auto"/>
        <w:jc w:val="center"/>
        <w:rPr>
          <w:rFonts w:ascii="黑体" w:hAnsi="Calibri" w:eastAsia="黑体"/>
          <w:szCs w:val="32"/>
        </w:rPr>
      </w:pPr>
    </w:p>
    <w:p>
      <w:pPr>
        <w:spacing w:line="360" w:lineRule="auto"/>
        <w:jc w:val="center"/>
        <w:rPr>
          <w:rFonts w:ascii="黑体" w:hAnsi="Calibri" w:eastAsia="黑体"/>
          <w:szCs w:val="32"/>
        </w:rPr>
      </w:pPr>
    </w:p>
    <w:p>
      <w:pPr>
        <w:spacing w:line="360" w:lineRule="auto"/>
        <w:jc w:val="center"/>
        <w:rPr>
          <w:rFonts w:ascii="黑体" w:hAnsi="Calibri" w:eastAsia="黑体"/>
          <w:szCs w:val="32"/>
        </w:rPr>
      </w:pPr>
    </w:p>
    <w:p>
      <w:pPr>
        <w:spacing w:line="360" w:lineRule="auto"/>
        <w:jc w:val="center"/>
        <w:rPr>
          <w:rFonts w:ascii="黑体" w:hAnsi="Calibri" w:eastAsia="黑体"/>
          <w:szCs w:val="32"/>
        </w:rPr>
      </w:pPr>
    </w:p>
    <w:p>
      <w:pPr>
        <w:spacing w:line="360" w:lineRule="auto"/>
        <w:jc w:val="center"/>
        <w:rPr>
          <w:rFonts w:ascii="黑体" w:hAnsi="Calibri" w:eastAsia="黑体"/>
          <w:szCs w:val="32"/>
        </w:rPr>
      </w:pPr>
    </w:p>
    <w:p>
      <w:pPr>
        <w:spacing w:line="360" w:lineRule="auto"/>
        <w:rPr>
          <w:rFonts w:hint="eastAsia" w:ascii="黑体" w:hAnsi="Calibri" w:eastAsia="黑体"/>
          <w:szCs w:val="32"/>
        </w:rPr>
      </w:pPr>
    </w:p>
    <w:p>
      <w:pPr>
        <w:spacing w:line="360" w:lineRule="auto"/>
        <w:rPr>
          <w:rFonts w:ascii="黑体" w:hAnsi="Calibri" w:eastAsia="黑体"/>
          <w:szCs w:val="32"/>
        </w:rPr>
      </w:pPr>
    </w:p>
    <w:p>
      <w:pPr>
        <w:spacing w:line="360" w:lineRule="auto"/>
        <w:jc w:val="center"/>
        <w:rPr>
          <w:rFonts w:ascii="黑体" w:hAnsi="Calibri" w:eastAsia="黑体"/>
          <w:szCs w:val="32"/>
        </w:rPr>
      </w:pPr>
      <w:r>
        <w:rPr>
          <w:rFonts w:hint="eastAsia" w:ascii="黑体" w:hAnsi="Calibri" w:eastAsia="黑体"/>
          <w:szCs w:val="32"/>
        </w:rPr>
        <w:t>（三）教育考试类</w:t>
      </w:r>
    </w:p>
    <w:tbl>
      <w:tblPr>
        <w:tblStyle w:val="82"/>
        <w:tblW w:w="1414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143"/>
        <w:gridCol w:w="4327"/>
        <w:gridCol w:w="3139"/>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2" w:type="dxa"/>
            <w:noWrap/>
            <w:vAlign w:val="center"/>
          </w:tcPr>
          <w:p>
            <w:pPr>
              <w:jc w:val="center"/>
              <w:rPr>
                <w:rFonts w:hint="eastAsia" w:ascii="仿宋_GB2312" w:hAnsi="Calibri"/>
                <w:b/>
                <w:sz w:val="24"/>
                <w:szCs w:val="22"/>
              </w:rPr>
            </w:pPr>
            <w:r>
              <w:rPr>
                <w:rFonts w:hint="eastAsia" w:ascii="仿宋_GB2312" w:hAnsi="Calibri"/>
                <w:b/>
                <w:sz w:val="24"/>
                <w:szCs w:val="22"/>
              </w:rPr>
              <w:t>序号</w:t>
            </w:r>
          </w:p>
        </w:tc>
        <w:tc>
          <w:tcPr>
            <w:tcW w:w="2143" w:type="dxa"/>
            <w:noWrap/>
            <w:vAlign w:val="center"/>
          </w:tcPr>
          <w:p>
            <w:pPr>
              <w:jc w:val="center"/>
              <w:rPr>
                <w:rFonts w:hint="eastAsia" w:ascii="仿宋_GB2312" w:hAnsi="Calibri"/>
                <w:b/>
                <w:sz w:val="24"/>
                <w:szCs w:val="22"/>
              </w:rPr>
            </w:pPr>
            <w:r>
              <w:rPr>
                <w:rFonts w:hint="eastAsia" w:ascii="仿宋_GB2312" w:hAnsi="Calibri"/>
                <w:b/>
                <w:sz w:val="24"/>
                <w:szCs w:val="22"/>
              </w:rPr>
              <w:t>违法行为</w:t>
            </w:r>
          </w:p>
        </w:tc>
        <w:tc>
          <w:tcPr>
            <w:tcW w:w="4327" w:type="dxa"/>
            <w:noWrap/>
            <w:vAlign w:val="center"/>
          </w:tcPr>
          <w:p>
            <w:pPr>
              <w:jc w:val="center"/>
              <w:rPr>
                <w:rFonts w:hint="eastAsia" w:ascii="仿宋_GB2312" w:hAnsi="Calibri"/>
                <w:b/>
                <w:sz w:val="24"/>
                <w:szCs w:val="22"/>
              </w:rPr>
            </w:pPr>
            <w:r>
              <w:rPr>
                <w:rFonts w:hint="eastAsia" w:ascii="仿宋_GB2312" w:hAnsi="Calibri"/>
                <w:b/>
                <w:sz w:val="24"/>
                <w:szCs w:val="22"/>
              </w:rPr>
              <w:t>处罚依据</w:t>
            </w:r>
          </w:p>
        </w:tc>
        <w:tc>
          <w:tcPr>
            <w:tcW w:w="3139" w:type="dxa"/>
            <w:noWrap/>
            <w:vAlign w:val="center"/>
          </w:tcPr>
          <w:p>
            <w:pPr>
              <w:jc w:val="center"/>
              <w:rPr>
                <w:rFonts w:hint="eastAsia" w:ascii="仿宋_GB2312" w:hAnsi="Calibri"/>
                <w:b/>
                <w:sz w:val="24"/>
                <w:szCs w:val="22"/>
              </w:rPr>
            </w:pPr>
            <w:r>
              <w:rPr>
                <w:rFonts w:hint="eastAsia" w:ascii="仿宋_GB2312" w:hAnsi="Calibri"/>
                <w:b/>
                <w:sz w:val="24"/>
                <w:szCs w:val="22"/>
              </w:rPr>
              <w:t>适用情形</w:t>
            </w:r>
          </w:p>
        </w:tc>
        <w:tc>
          <w:tcPr>
            <w:tcW w:w="3930" w:type="dxa"/>
            <w:noWrap/>
            <w:vAlign w:val="center"/>
          </w:tcPr>
          <w:p>
            <w:pPr>
              <w:jc w:val="center"/>
              <w:rPr>
                <w:rFonts w:hint="eastAsia" w:ascii="仿宋_GB2312" w:hAnsi="Calibri"/>
                <w:b/>
                <w:sz w:val="24"/>
                <w:szCs w:val="22"/>
              </w:rPr>
            </w:pPr>
            <w:r>
              <w:rPr>
                <w:rFonts w:hint="eastAsia" w:ascii="仿宋_GB2312" w:hAnsi="Calibri"/>
                <w:b/>
                <w:sz w:val="24"/>
                <w:szCs w:val="22"/>
              </w:rPr>
              <w:t>自由裁量基准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02" w:type="dxa"/>
            <w:vMerge w:val="restart"/>
            <w:noWrap/>
            <w:vAlign w:val="center"/>
          </w:tcPr>
          <w:p>
            <w:pPr>
              <w:jc w:val="center"/>
              <w:rPr>
                <w:rFonts w:hint="eastAsia" w:ascii="仿宋_GB2312" w:hAnsi="Calibri"/>
                <w:b/>
                <w:bCs/>
                <w:sz w:val="21"/>
                <w:szCs w:val="21"/>
              </w:rPr>
            </w:pPr>
            <w:r>
              <w:rPr>
                <w:rFonts w:hint="eastAsia" w:ascii="仿宋_GB2312" w:hAnsi="Calibri"/>
                <w:b/>
                <w:bCs/>
                <w:sz w:val="21"/>
                <w:szCs w:val="21"/>
              </w:rPr>
              <w:t>1</w:t>
            </w:r>
          </w:p>
        </w:tc>
        <w:tc>
          <w:tcPr>
            <w:tcW w:w="2143" w:type="dxa"/>
            <w:vMerge w:val="restart"/>
            <w:noWrap/>
            <w:vAlign w:val="center"/>
          </w:tcPr>
          <w:p>
            <w:pPr>
              <w:widowControl/>
              <w:spacing w:before="100" w:after="100" w:line="274" w:lineRule="auto"/>
              <w:jc w:val="left"/>
              <w:textAlignment w:val="center"/>
              <w:rPr>
                <w:rFonts w:hint="eastAsia" w:ascii="仿宋_GB2312" w:hAnsi="宋体" w:cs="宋体"/>
                <w:kern w:val="0"/>
                <w:sz w:val="21"/>
                <w:szCs w:val="21"/>
              </w:rPr>
            </w:pPr>
            <w:r>
              <w:rPr>
                <w:rFonts w:hint="eastAsia" w:ascii="宋体" w:hAnsi="宋体" w:cs="宋体"/>
                <w:kern w:val="0"/>
                <w:sz w:val="21"/>
                <w:szCs w:val="21"/>
              </w:rPr>
              <w:t>  </w:t>
            </w:r>
          </w:p>
          <w:p>
            <w:pPr>
              <w:widowControl/>
              <w:spacing w:before="100" w:after="100" w:line="274" w:lineRule="auto"/>
              <w:jc w:val="left"/>
              <w:textAlignment w:val="center"/>
              <w:rPr>
                <w:rFonts w:hint="eastAsia" w:ascii="仿宋_GB2312" w:hAnsi="宋体" w:cs="宋体"/>
                <w:b/>
                <w:kern w:val="0"/>
                <w:sz w:val="21"/>
                <w:szCs w:val="21"/>
              </w:rPr>
            </w:pPr>
            <w:r>
              <w:rPr>
                <w:rFonts w:hint="eastAsia" w:ascii="仿宋_GB2312" w:hAnsi="宋体" w:cs="宋体"/>
                <w:kern w:val="0"/>
                <w:sz w:val="21"/>
                <w:szCs w:val="21"/>
              </w:rPr>
              <w:t>考生在国家教育考试中存在作弊或让他人代替自己参加考试的行为</w:t>
            </w:r>
          </w:p>
        </w:tc>
        <w:tc>
          <w:tcPr>
            <w:tcW w:w="4327" w:type="dxa"/>
            <w:vMerge w:val="restart"/>
            <w:noWrap/>
            <w:vAlign w:val="center"/>
          </w:tcPr>
          <w:p>
            <w:pPr>
              <w:widowControl/>
              <w:spacing w:before="100" w:after="100" w:line="280" w:lineRule="exact"/>
              <w:jc w:val="left"/>
              <w:textAlignment w:val="center"/>
              <w:rPr>
                <w:rFonts w:hint="eastAsia" w:ascii="仿宋_GB2312" w:hAnsi="宋体" w:cs="宋体"/>
                <w:b/>
                <w:kern w:val="0"/>
                <w:sz w:val="21"/>
                <w:szCs w:val="21"/>
              </w:rPr>
            </w:pPr>
            <w:r>
              <w:rPr>
                <w:rFonts w:hint="eastAsia" w:ascii="仿宋_GB2312" w:hAnsi="宋体" w:cs="宋体"/>
                <w:bCs/>
                <w:kern w:val="0"/>
                <w:sz w:val="21"/>
                <w:szCs w:val="21"/>
              </w:rPr>
              <w:t>《中华人民共和国教育法》第七十九条：</w:t>
            </w:r>
            <w:r>
              <w:rPr>
                <w:rFonts w:hint="eastAsia" w:ascii="仿宋_GB2312" w:hAnsi="宋体" w:cs="宋体"/>
                <w:kern w:val="0"/>
                <w:sz w:val="21"/>
                <w:szCs w:val="21"/>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一）非法获取考试试题或者答案的；</w:t>
            </w:r>
            <w:r>
              <w:rPr>
                <w:rFonts w:hint="eastAsia" w:ascii="仿宋_GB2312" w:hAnsi="宋体" w:cs="宋体"/>
                <w:color w:val="000000"/>
                <w:kern w:val="0"/>
                <w:sz w:val="21"/>
                <w:szCs w:val="21"/>
              </w:rPr>
              <w:t>（二）携带或者使用考试作弊器材、资料的；（三）抄袭他人答案的；（四）让他人代替自己参加考试的；（五）其他以不正当手段获得考试成绩的作弊行为。</w:t>
            </w:r>
          </w:p>
        </w:tc>
        <w:tc>
          <w:tcPr>
            <w:tcW w:w="3139" w:type="dxa"/>
            <w:noWrap/>
            <w:vAlign w:val="center"/>
          </w:tcPr>
          <w:p>
            <w:pPr>
              <w:widowControl/>
              <w:spacing w:before="100" w:after="100" w:line="274" w:lineRule="auto"/>
              <w:jc w:val="left"/>
              <w:textAlignment w:val="center"/>
              <w:rPr>
                <w:rFonts w:hint="eastAsia" w:ascii="仿宋_GB2312" w:hAnsi="宋体" w:cs="宋体"/>
                <w:b/>
                <w:kern w:val="0"/>
                <w:sz w:val="21"/>
                <w:szCs w:val="21"/>
              </w:rPr>
            </w:pPr>
            <w:r>
              <w:rPr>
                <w:rFonts w:hint="eastAsia" w:ascii="仿宋_GB2312" w:hAnsi="宋体" w:cs="宋体"/>
                <w:kern w:val="0"/>
                <w:sz w:val="21"/>
                <w:szCs w:val="21"/>
              </w:rPr>
              <w:t>情节轻微</w:t>
            </w:r>
            <w:r>
              <w:rPr>
                <w:rFonts w:hint="eastAsia" w:ascii="宋体" w:hAnsi="宋体" w:cs="宋体"/>
                <w:kern w:val="0"/>
                <w:sz w:val="21"/>
                <w:szCs w:val="21"/>
              </w:rPr>
              <w:t>  </w:t>
            </w:r>
          </w:p>
        </w:tc>
        <w:tc>
          <w:tcPr>
            <w:tcW w:w="3930" w:type="dxa"/>
            <w:noWrap/>
            <w:vAlign w:val="center"/>
          </w:tcPr>
          <w:p>
            <w:pPr>
              <w:widowControl/>
              <w:spacing w:before="100" w:after="100" w:line="274" w:lineRule="auto"/>
              <w:jc w:val="left"/>
              <w:textAlignment w:val="center"/>
              <w:rPr>
                <w:rFonts w:hint="eastAsia" w:ascii="仿宋_GB2312" w:hAnsi="宋体" w:cs="宋体"/>
                <w:b/>
                <w:kern w:val="0"/>
                <w:sz w:val="21"/>
                <w:szCs w:val="21"/>
              </w:rPr>
            </w:pPr>
            <w:r>
              <w:rPr>
                <w:rFonts w:hint="eastAsia" w:ascii="仿宋_GB2312" w:hAnsi="宋体" w:cs="宋体"/>
                <w:color w:val="000000"/>
                <w:kern w:val="0"/>
                <w:sz w:val="21"/>
                <w:szCs w:val="21"/>
              </w:rPr>
              <w:t>制止并终止其继续参加考试</w:t>
            </w: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602" w:type="dxa"/>
            <w:vMerge w:val="continue"/>
            <w:noWrap w:val="0"/>
            <w:vAlign w:val="center"/>
          </w:tcPr>
          <w:p>
            <w:pPr>
              <w:jc w:val="center"/>
              <w:rPr>
                <w:rFonts w:hint="eastAsia" w:ascii="仿宋_GB2312" w:hAnsi="Calibri"/>
                <w:b/>
                <w:sz w:val="21"/>
                <w:szCs w:val="21"/>
              </w:rPr>
            </w:pPr>
          </w:p>
        </w:tc>
        <w:tc>
          <w:tcPr>
            <w:tcW w:w="2143" w:type="dxa"/>
            <w:vMerge w:val="continue"/>
            <w:noWrap w:val="0"/>
            <w:vAlign w:val="center"/>
          </w:tcPr>
          <w:p>
            <w:pPr>
              <w:widowControl/>
              <w:spacing w:line="274" w:lineRule="auto"/>
              <w:rPr>
                <w:rFonts w:hint="eastAsia" w:ascii="仿宋_GB2312" w:hAnsi="Calibri"/>
                <w:b/>
                <w:sz w:val="21"/>
                <w:szCs w:val="21"/>
              </w:rPr>
            </w:pPr>
          </w:p>
        </w:tc>
        <w:tc>
          <w:tcPr>
            <w:tcW w:w="4327" w:type="dxa"/>
            <w:vMerge w:val="continue"/>
            <w:noWrap w:val="0"/>
            <w:vAlign w:val="center"/>
          </w:tcPr>
          <w:p>
            <w:pPr>
              <w:widowControl/>
              <w:spacing w:line="280" w:lineRule="exact"/>
              <w:rPr>
                <w:rFonts w:hint="eastAsia" w:ascii="仿宋_GB2312" w:hAnsi="Calibri"/>
                <w:b/>
                <w:sz w:val="21"/>
                <w:szCs w:val="21"/>
              </w:rPr>
            </w:pPr>
          </w:p>
        </w:tc>
        <w:tc>
          <w:tcPr>
            <w:tcW w:w="3139" w:type="dxa"/>
            <w:noWrap w:val="0"/>
            <w:vAlign w:val="center"/>
          </w:tcPr>
          <w:p>
            <w:pPr>
              <w:widowControl/>
              <w:spacing w:before="100" w:after="100" w:line="274" w:lineRule="auto"/>
              <w:jc w:val="left"/>
              <w:textAlignment w:val="center"/>
              <w:rPr>
                <w:rFonts w:hint="eastAsia" w:ascii="仿宋_GB2312" w:hAnsi="宋体" w:cs="宋体"/>
                <w:kern w:val="0"/>
                <w:sz w:val="21"/>
                <w:szCs w:val="21"/>
              </w:rPr>
            </w:pPr>
            <w:r>
              <w:rPr>
                <w:rFonts w:hint="eastAsia" w:ascii="仿宋_GB2312" w:hAnsi="宋体" w:cs="宋体"/>
                <w:kern w:val="0"/>
                <w:sz w:val="21"/>
                <w:szCs w:val="21"/>
              </w:rPr>
              <w:t>情节一般</w:t>
            </w:r>
            <w:r>
              <w:rPr>
                <w:rFonts w:hint="eastAsia" w:ascii="宋体" w:hAnsi="宋体" w:cs="宋体"/>
                <w:kern w:val="0"/>
                <w:sz w:val="21"/>
                <w:szCs w:val="21"/>
              </w:rPr>
              <w:t> </w:t>
            </w:r>
          </w:p>
        </w:tc>
        <w:tc>
          <w:tcPr>
            <w:tcW w:w="3930" w:type="dxa"/>
            <w:noWrap w:val="0"/>
            <w:vAlign w:val="center"/>
          </w:tcPr>
          <w:p>
            <w:pPr>
              <w:widowControl/>
              <w:spacing w:before="100" w:after="100" w:line="274" w:lineRule="auto"/>
              <w:jc w:val="left"/>
              <w:textAlignment w:val="center"/>
              <w:rPr>
                <w:rFonts w:hint="eastAsia" w:ascii="仿宋_GB2312" w:hAnsi="宋体" w:cs="宋体"/>
                <w:kern w:val="0"/>
                <w:sz w:val="21"/>
                <w:szCs w:val="21"/>
              </w:rPr>
            </w:pPr>
            <w:r>
              <w:rPr>
                <w:rFonts w:hint="eastAsia" w:ascii="仿宋_GB2312" w:hAnsi="宋体" w:cs="宋体"/>
                <w:kern w:val="0"/>
                <w:sz w:val="21"/>
                <w:szCs w:val="21"/>
              </w:rPr>
              <w:t>制止并终止其继续参加考试，取消相关考试资格或者考试成绩</w:t>
            </w: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602" w:type="dxa"/>
            <w:vMerge w:val="continue"/>
            <w:noWrap w:val="0"/>
            <w:vAlign w:val="center"/>
          </w:tcPr>
          <w:p>
            <w:pPr>
              <w:jc w:val="center"/>
              <w:rPr>
                <w:rFonts w:hint="eastAsia" w:ascii="仿宋_GB2312" w:hAnsi="Calibri"/>
                <w:b/>
                <w:sz w:val="21"/>
                <w:szCs w:val="21"/>
              </w:rPr>
            </w:pPr>
          </w:p>
        </w:tc>
        <w:tc>
          <w:tcPr>
            <w:tcW w:w="2143" w:type="dxa"/>
            <w:vMerge w:val="continue"/>
            <w:noWrap w:val="0"/>
            <w:vAlign w:val="center"/>
          </w:tcPr>
          <w:p>
            <w:pPr>
              <w:widowControl/>
              <w:spacing w:line="274" w:lineRule="auto"/>
              <w:rPr>
                <w:rFonts w:hint="eastAsia" w:ascii="仿宋_GB2312" w:hAnsi="Calibri"/>
                <w:b/>
                <w:sz w:val="21"/>
                <w:szCs w:val="21"/>
              </w:rPr>
            </w:pPr>
          </w:p>
        </w:tc>
        <w:tc>
          <w:tcPr>
            <w:tcW w:w="4327" w:type="dxa"/>
            <w:vMerge w:val="continue"/>
            <w:noWrap w:val="0"/>
            <w:vAlign w:val="center"/>
          </w:tcPr>
          <w:p>
            <w:pPr>
              <w:widowControl/>
              <w:spacing w:line="280" w:lineRule="exact"/>
              <w:rPr>
                <w:rFonts w:hint="eastAsia" w:ascii="仿宋_GB2312" w:hAnsi="Calibri"/>
                <w:b/>
                <w:sz w:val="21"/>
                <w:szCs w:val="21"/>
              </w:rPr>
            </w:pPr>
          </w:p>
        </w:tc>
        <w:tc>
          <w:tcPr>
            <w:tcW w:w="3139" w:type="dxa"/>
            <w:noWrap w:val="0"/>
            <w:vAlign w:val="center"/>
          </w:tcPr>
          <w:p>
            <w:pPr>
              <w:widowControl/>
              <w:spacing w:before="100" w:after="100" w:line="274" w:lineRule="auto"/>
              <w:jc w:val="left"/>
              <w:textAlignment w:val="center"/>
              <w:rPr>
                <w:rFonts w:hint="eastAsia" w:ascii="仿宋_GB2312" w:hAnsi="宋体" w:cs="宋体"/>
                <w:b/>
                <w:kern w:val="0"/>
                <w:sz w:val="21"/>
                <w:szCs w:val="21"/>
              </w:rPr>
            </w:pPr>
            <w:r>
              <w:rPr>
                <w:rFonts w:hint="eastAsia" w:ascii="仿宋_GB2312" w:hAnsi="宋体" w:cs="宋体"/>
                <w:kern w:val="0"/>
                <w:sz w:val="21"/>
                <w:szCs w:val="21"/>
              </w:rPr>
              <w:t>情节严重</w:t>
            </w:r>
            <w:r>
              <w:rPr>
                <w:rFonts w:hint="eastAsia" w:ascii="宋体" w:hAnsi="宋体" w:cs="宋体"/>
                <w:kern w:val="0"/>
                <w:sz w:val="21"/>
                <w:szCs w:val="21"/>
              </w:rPr>
              <w:t> </w:t>
            </w:r>
          </w:p>
        </w:tc>
        <w:tc>
          <w:tcPr>
            <w:tcW w:w="3930" w:type="dxa"/>
            <w:noWrap w:val="0"/>
            <w:vAlign w:val="center"/>
          </w:tcPr>
          <w:p>
            <w:pPr>
              <w:widowControl/>
              <w:spacing w:before="100" w:after="100" w:line="274" w:lineRule="auto"/>
              <w:jc w:val="left"/>
              <w:textAlignment w:val="center"/>
              <w:rPr>
                <w:rFonts w:hint="eastAsia" w:ascii="仿宋_GB2312" w:hAnsi="宋体" w:cs="宋体"/>
                <w:b/>
                <w:kern w:val="0"/>
                <w:sz w:val="21"/>
                <w:szCs w:val="21"/>
              </w:rPr>
            </w:pPr>
            <w:r>
              <w:rPr>
                <w:rFonts w:hint="eastAsia" w:ascii="仿宋_GB2312" w:hAnsi="宋体" w:cs="宋体"/>
                <w:color w:val="000000"/>
                <w:kern w:val="0"/>
                <w:sz w:val="21"/>
                <w:szCs w:val="21"/>
              </w:rPr>
              <w:t>制止并终止其继续参加考试，取消考试资格或者考试成绩，并责令停止参加相关国家教育考试一年以上三年以下</w:t>
            </w: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2</w:t>
            </w:r>
          </w:p>
        </w:tc>
        <w:tc>
          <w:tcPr>
            <w:tcW w:w="2143" w:type="dxa"/>
            <w:vMerge w:val="restart"/>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应考者在高等教育自学考试中有舞弊行为以及其他违反考试规则的行为</w:t>
            </w:r>
          </w:p>
        </w:tc>
        <w:tc>
          <w:tcPr>
            <w:tcW w:w="4327" w:type="dxa"/>
            <w:vMerge w:val="restart"/>
            <w:noWrap w:val="0"/>
            <w:vAlign w:val="center"/>
          </w:tcPr>
          <w:p>
            <w:pPr>
              <w:widowControl/>
              <w:spacing w:line="280" w:lineRule="exact"/>
              <w:rPr>
                <w:rFonts w:hint="eastAsia" w:ascii="仿宋_GB2312" w:hAnsi="Calibri"/>
                <w:b/>
                <w:sz w:val="21"/>
                <w:szCs w:val="21"/>
              </w:rPr>
            </w:pPr>
            <w:r>
              <w:rPr>
                <w:rFonts w:hint="eastAsia" w:ascii="仿宋_GB2312" w:hAnsi="宋体" w:cs="宋体"/>
                <w:color w:val="000000"/>
                <w:kern w:val="0"/>
                <w:sz w:val="21"/>
                <w:szCs w:val="21"/>
              </w:rPr>
              <w:t>《高等教育自学考试暂行条例》第三十七条：高等教育自学考试应考者在考试中有夹带、传递、抄袭、换卷、代考等舞弊行为以及其他违反考试规则的行为，省考委视情节轻重，分别给予警告、取消考试成绩、停考一至三年的处罚。</w:t>
            </w:r>
          </w:p>
        </w:tc>
        <w:tc>
          <w:tcPr>
            <w:tcW w:w="3139"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考试违纪的</w:t>
            </w:r>
          </w:p>
        </w:tc>
        <w:tc>
          <w:tcPr>
            <w:tcW w:w="3930"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02" w:type="dxa"/>
            <w:vMerge w:val="continue"/>
            <w:noWrap w:val="0"/>
            <w:vAlign w:val="top"/>
          </w:tcPr>
          <w:p>
            <w:pPr>
              <w:jc w:val="center"/>
              <w:rPr>
                <w:rFonts w:hint="eastAsia" w:ascii="仿宋_GB2312" w:hAnsi="Calibri"/>
                <w:b/>
                <w:sz w:val="21"/>
                <w:szCs w:val="21"/>
              </w:rPr>
            </w:pPr>
          </w:p>
        </w:tc>
        <w:tc>
          <w:tcPr>
            <w:tcW w:w="2143" w:type="dxa"/>
            <w:vMerge w:val="continue"/>
            <w:noWrap w:val="0"/>
            <w:vAlign w:val="center"/>
          </w:tcPr>
          <w:p>
            <w:pPr>
              <w:widowControl/>
              <w:jc w:val="left"/>
              <w:rPr>
                <w:rFonts w:hint="eastAsia" w:ascii="仿宋_GB2312" w:hAnsi="Calibri"/>
                <w:b/>
                <w:sz w:val="21"/>
                <w:szCs w:val="21"/>
              </w:rPr>
            </w:pPr>
          </w:p>
        </w:tc>
        <w:tc>
          <w:tcPr>
            <w:tcW w:w="4327" w:type="dxa"/>
            <w:vMerge w:val="continue"/>
            <w:noWrap w:val="0"/>
            <w:vAlign w:val="center"/>
          </w:tcPr>
          <w:p>
            <w:pPr>
              <w:widowControl/>
              <w:jc w:val="left"/>
              <w:rPr>
                <w:rFonts w:hint="eastAsia" w:ascii="仿宋_GB2312" w:hAnsi="Calibri"/>
                <w:b/>
                <w:sz w:val="21"/>
                <w:szCs w:val="21"/>
              </w:rPr>
            </w:pPr>
          </w:p>
        </w:tc>
        <w:tc>
          <w:tcPr>
            <w:tcW w:w="3139"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考试作弊，情节轻微的</w:t>
            </w:r>
          </w:p>
        </w:tc>
        <w:tc>
          <w:tcPr>
            <w:tcW w:w="3930"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停考一年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02" w:type="dxa"/>
            <w:vMerge w:val="continue"/>
            <w:noWrap w:val="0"/>
            <w:vAlign w:val="top"/>
          </w:tcPr>
          <w:p>
            <w:pPr>
              <w:jc w:val="center"/>
              <w:rPr>
                <w:rFonts w:hint="eastAsia" w:ascii="仿宋_GB2312" w:hAnsi="Calibri"/>
                <w:b/>
                <w:sz w:val="21"/>
                <w:szCs w:val="21"/>
              </w:rPr>
            </w:pPr>
          </w:p>
        </w:tc>
        <w:tc>
          <w:tcPr>
            <w:tcW w:w="2143" w:type="dxa"/>
            <w:vMerge w:val="continue"/>
            <w:noWrap w:val="0"/>
            <w:vAlign w:val="center"/>
          </w:tcPr>
          <w:p>
            <w:pPr>
              <w:widowControl/>
              <w:jc w:val="left"/>
              <w:rPr>
                <w:rFonts w:hint="eastAsia" w:ascii="仿宋_GB2312" w:hAnsi="Calibri"/>
                <w:b/>
                <w:sz w:val="21"/>
                <w:szCs w:val="21"/>
              </w:rPr>
            </w:pPr>
          </w:p>
        </w:tc>
        <w:tc>
          <w:tcPr>
            <w:tcW w:w="4327" w:type="dxa"/>
            <w:vMerge w:val="continue"/>
            <w:noWrap w:val="0"/>
            <w:vAlign w:val="center"/>
          </w:tcPr>
          <w:p>
            <w:pPr>
              <w:widowControl/>
              <w:jc w:val="left"/>
              <w:rPr>
                <w:rFonts w:hint="eastAsia" w:ascii="仿宋_GB2312" w:hAnsi="Calibri"/>
                <w:b/>
                <w:sz w:val="21"/>
                <w:szCs w:val="21"/>
              </w:rPr>
            </w:pPr>
          </w:p>
        </w:tc>
        <w:tc>
          <w:tcPr>
            <w:tcW w:w="3139"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考试作弊，情节一般的</w:t>
            </w:r>
          </w:p>
        </w:tc>
        <w:tc>
          <w:tcPr>
            <w:tcW w:w="3930"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停考二年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noWrap w:val="0"/>
            <w:vAlign w:val="top"/>
          </w:tcPr>
          <w:p>
            <w:pPr>
              <w:jc w:val="center"/>
              <w:rPr>
                <w:rFonts w:hint="eastAsia" w:ascii="仿宋_GB2312" w:hAnsi="Calibri"/>
                <w:b/>
                <w:sz w:val="21"/>
                <w:szCs w:val="21"/>
              </w:rPr>
            </w:pPr>
          </w:p>
        </w:tc>
        <w:tc>
          <w:tcPr>
            <w:tcW w:w="2143" w:type="dxa"/>
            <w:vMerge w:val="continue"/>
            <w:noWrap w:val="0"/>
            <w:vAlign w:val="center"/>
          </w:tcPr>
          <w:p>
            <w:pPr>
              <w:widowControl/>
              <w:jc w:val="left"/>
              <w:rPr>
                <w:rFonts w:hint="eastAsia" w:ascii="仿宋_GB2312" w:hAnsi="Calibri"/>
                <w:b/>
                <w:sz w:val="21"/>
                <w:szCs w:val="21"/>
              </w:rPr>
            </w:pPr>
          </w:p>
        </w:tc>
        <w:tc>
          <w:tcPr>
            <w:tcW w:w="4327" w:type="dxa"/>
            <w:vMerge w:val="continue"/>
            <w:noWrap w:val="0"/>
            <w:vAlign w:val="center"/>
          </w:tcPr>
          <w:p>
            <w:pPr>
              <w:widowControl/>
              <w:jc w:val="left"/>
              <w:rPr>
                <w:rFonts w:hint="eastAsia" w:ascii="仿宋_GB2312" w:hAnsi="Calibri"/>
                <w:b/>
                <w:sz w:val="21"/>
                <w:szCs w:val="21"/>
              </w:rPr>
            </w:pPr>
          </w:p>
        </w:tc>
        <w:tc>
          <w:tcPr>
            <w:tcW w:w="3139"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考试作弊，情节严重的</w:t>
            </w:r>
          </w:p>
        </w:tc>
        <w:tc>
          <w:tcPr>
            <w:tcW w:w="3930"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停考三年</w:t>
            </w:r>
          </w:p>
        </w:tc>
      </w:tr>
    </w:tbl>
    <w:p>
      <w:pPr>
        <w:rPr>
          <w:rFonts w:ascii="Calibri" w:hAnsi="Calibri" w:eastAsia="宋体"/>
          <w:sz w:val="21"/>
          <w:szCs w:val="21"/>
        </w:rPr>
      </w:pPr>
    </w:p>
    <w:p>
      <w:pPr>
        <w:spacing w:line="360" w:lineRule="auto"/>
        <w:jc w:val="center"/>
        <w:rPr>
          <w:rFonts w:ascii="黑体" w:hAnsi="Calibri" w:eastAsia="黑体"/>
          <w:szCs w:val="32"/>
        </w:rPr>
      </w:pPr>
      <w:r>
        <w:rPr>
          <w:rFonts w:hint="eastAsia" w:ascii="黑体" w:hAnsi="Calibri" w:eastAsia="黑体"/>
          <w:szCs w:val="32"/>
        </w:rPr>
        <w:t>（四）中外合作办学类</w:t>
      </w:r>
    </w:p>
    <w:tbl>
      <w:tblPr>
        <w:tblStyle w:val="82"/>
        <w:tblW w:w="14141"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035"/>
        <w:gridCol w:w="4795"/>
        <w:gridCol w:w="2871"/>
        <w:gridCol w:w="3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2" w:type="dxa"/>
            <w:noWrap/>
            <w:vAlign w:val="center"/>
          </w:tcPr>
          <w:p>
            <w:pPr>
              <w:jc w:val="center"/>
              <w:rPr>
                <w:rFonts w:hint="eastAsia" w:ascii="仿宋_GB2312" w:hAnsi="Calibri"/>
                <w:b/>
                <w:sz w:val="21"/>
                <w:szCs w:val="21"/>
              </w:rPr>
            </w:pPr>
            <w:r>
              <w:rPr>
                <w:rFonts w:hint="eastAsia" w:ascii="仿宋_GB2312" w:hAnsi="Calibri"/>
                <w:b/>
                <w:sz w:val="21"/>
                <w:szCs w:val="21"/>
              </w:rPr>
              <w:t>序号</w:t>
            </w:r>
          </w:p>
        </w:tc>
        <w:tc>
          <w:tcPr>
            <w:tcW w:w="2035" w:type="dxa"/>
            <w:noWrap/>
            <w:vAlign w:val="center"/>
          </w:tcPr>
          <w:p>
            <w:pPr>
              <w:jc w:val="center"/>
              <w:rPr>
                <w:rFonts w:hint="eastAsia" w:ascii="仿宋_GB2312" w:hAnsi="Calibri"/>
                <w:b/>
                <w:sz w:val="21"/>
                <w:szCs w:val="21"/>
              </w:rPr>
            </w:pPr>
            <w:r>
              <w:rPr>
                <w:rFonts w:hint="eastAsia" w:ascii="仿宋_GB2312" w:hAnsi="Calibri"/>
                <w:b/>
                <w:sz w:val="21"/>
                <w:szCs w:val="21"/>
              </w:rPr>
              <w:t>违法行为</w:t>
            </w:r>
          </w:p>
        </w:tc>
        <w:tc>
          <w:tcPr>
            <w:tcW w:w="4795" w:type="dxa"/>
            <w:noWrap/>
            <w:vAlign w:val="center"/>
          </w:tcPr>
          <w:p>
            <w:pPr>
              <w:jc w:val="center"/>
              <w:rPr>
                <w:rFonts w:hint="eastAsia" w:ascii="仿宋_GB2312" w:hAnsi="Calibri"/>
                <w:b/>
                <w:sz w:val="21"/>
                <w:szCs w:val="21"/>
              </w:rPr>
            </w:pPr>
            <w:r>
              <w:rPr>
                <w:rFonts w:hint="eastAsia" w:ascii="仿宋_GB2312" w:hAnsi="Calibri"/>
                <w:b/>
                <w:sz w:val="21"/>
                <w:szCs w:val="21"/>
              </w:rPr>
              <w:t>处罚依据</w:t>
            </w:r>
          </w:p>
        </w:tc>
        <w:tc>
          <w:tcPr>
            <w:tcW w:w="2871" w:type="dxa"/>
            <w:noWrap/>
            <w:vAlign w:val="center"/>
          </w:tcPr>
          <w:p>
            <w:pPr>
              <w:jc w:val="center"/>
              <w:rPr>
                <w:rFonts w:hint="eastAsia" w:ascii="仿宋_GB2312" w:hAnsi="Calibri"/>
                <w:b/>
                <w:sz w:val="21"/>
                <w:szCs w:val="21"/>
              </w:rPr>
            </w:pPr>
            <w:r>
              <w:rPr>
                <w:rFonts w:hint="eastAsia" w:ascii="仿宋_GB2312" w:hAnsi="Calibri"/>
                <w:b/>
                <w:sz w:val="21"/>
                <w:szCs w:val="21"/>
              </w:rPr>
              <w:t>适用情形</w:t>
            </w:r>
          </w:p>
        </w:tc>
        <w:tc>
          <w:tcPr>
            <w:tcW w:w="3838" w:type="dxa"/>
            <w:noWrap/>
            <w:vAlign w:val="center"/>
          </w:tcPr>
          <w:p>
            <w:pPr>
              <w:jc w:val="center"/>
              <w:rPr>
                <w:rFonts w:hint="eastAsia" w:ascii="仿宋_GB2312" w:hAnsi="Calibri"/>
                <w:b/>
                <w:sz w:val="21"/>
                <w:szCs w:val="21"/>
              </w:rPr>
            </w:pPr>
            <w:r>
              <w:rPr>
                <w:rFonts w:hint="eastAsia" w:ascii="仿宋_GB2312" w:hAnsi="Calibri"/>
                <w:b/>
                <w:sz w:val="21"/>
                <w:szCs w:val="21"/>
              </w:rPr>
              <w:t>自由裁量基准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restart"/>
            <w:noWrap/>
            <w:vAlign w:val="center"/>
          </w:tcPr>
          <w:p>
            <w:pPr>
              <w:jc w:val="center"/>
              <w:rPr>
                <w:rFonts w:hint="eastAsia" w:ascii="仿宋_GB2312" w:hAnsi="Calibri"/>
                <w:b/>
                <w:sz w:val="21"/>
                <w:szCs w:val="21"/>
              </w:rPr>
            </w:pPr>
            <w:r>
              <w:rPr>
                <w:rFonts w:hint="eastAsia" w:ascii="仿宋_GB2312" w:hAnsi="Calibri"/>
                <w:b/>
                <w:sz w:val="21"/>
                <w:szCs w:val="21"/>
              </w:rPr>
              <w:t>1</w:t>
            </w:r>
          </w:p>
        </w:tc>
        <w:tc>
          <w:tcPr>
            <w:tcW w:w="2035" w:type="dxa"/>
            <w:vMerge w:val="restart"/>
            <w:noWrap/>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sz w:val="21"/>
                <w:szCs w:val="21"/>
              </w:rPr>
              <w:t>未经批准擅自设立中外合作办学机构或以不正当手段骗取中外合作办学许可证</w:t>
            </w:r>
            <w:r>
              <w:rPr>
                <w:rFonts w:hint="eastAsia" w:ascii="仿宋_GB2312" w:hAnsi="宋体" w:cs="宋体"/>
                <w:kern w:val="0"/>
                <w:sz w:val="21"/>
                <w:szCs w:val="21"/>
              </w:rPr>
              <w:t>的行为</w:t>
            </w:r>
            <w:r>
              <w:rPr>
                <w:rFonts w:hint="eastAsia" w:ascii="宋体" w:hAnsi="宋体" w:cs="宋体"/>
                <w:kern w:val="0"/>
                <w:sz w:val="21"/>
                <w:szCs w:val="21"/>
              </w:rPr>
              <w:t> </w:t>
            </w:r>
            <w:r>
              <w:rPr>
                <w:rFonts w:hint="eastAsia" w:ascii="宋体" w:hAnsi="宋体"/>
                <w:sz w:val="21"/>
                <w:szCs w:val="21"/>
              </w:rPr>
              <w:t> </w:t>
            </w:r>
          </w:p>
        </w:tc>
        <w:tc>
          <w:tcPr>
            <w:tcW w:w="4795" w:type="dxa"/>
            <w:vMerge w:val="restart"/>
            <w:noWrap/>
            <w:vAlign w:val="center"/>
          </w:tcPr>
          <w:p>
            <w:pPr>
              <w:spacing w:line="300" w:lineRule="auto"/>
              <w:rPr>
                <w:rFonts w:hint="eastAsia" w:ascii="仿宋_GB2312" w:hAnsi="宋体"/>
                <w:sz w:val="21"/>
                <w:szCs w:val="21"/>
              </w:rPr>
            </w:pPr>
            <w:r>
              <w:rPr>
                <w:rFonts w:hint="eastAsia" w:ascii="仿宋_GB2312" w:hAnsi="宋体"/>
                <w:bCs/>
                <w:sz w:val="21"/>
                <w:szCs w:val="21"/>
              </w:rPr>
              <w:t>《中华人民共和国中外合作办学条例》第五十一条：违反</w:t>
            </w:r>
            <w:r>
              <w:rPr>
                <w:rFonts w:hint="eastAsia" w:ascii="仿宋_GB2312" w:hAnsi="宋体"/>
                <w:sz w:val="21"/>
                <w:szCs w:val="21"/>
              </w:rPr>
              <w:t>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p>
            <w:pPr>
              <w:spacing w:line="300" w:lineRule="auto"/>
              <w:rPr>
                <w:rFonts w:hint="eastAsia" w:ascii="仿宋_GB2312" w:hAnsi="宋体"/>
                <w:sz w:val="21"/>
                <w:szCs w:val="21"/>
              </w:rPr>
            </w:pPr>
          </w:p>
        </w:tc>
        <w:tc>
          <w:tcPr>
            <w:tcW w:w="2871" w:type="dxa"/>
            <w:noWrap/>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情节轻微，危害后果轻微的</w:t>
            </w:r>
          </w:p>
        </w:tc>
        <w:tc>
          <w:tcPr>
            <w:tcW w:w="3838" w:type="dxa"/>
            <w:noWrap/>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取缔，4万元以下罚款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spacing w:line="300" w:lineRule="auto"/>
              <w:rPr>
                <w:rFonts w:hint="eastAsia" w:ascii="仿宋_GB2312" w:hAnsi="宋体"/>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取缔，4-7万元罚款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spacing w:line="300" w:lineRule="auto"/>
              <w:rPr>
                <w:rFonts w:hint="eastAsia" w:ascii="仿宋_GB2312" w:hAnsi="宋体"/>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取缔，7-10万元罚款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2</w:t>
            </w:r>
          </w:p>
        </w:tc>
        <w:tc>
          <w:tcPr>
            <w:tcW w:w="2035" w:type="dxa"/>
            <w:vMerge w:val="restart"/>
            <w:noWrap w:val="0"/>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sz w:val="21"/>
                <w:szCs w:val="21"/>
              </w:rPr>
              <w:t>中外合作办学机构在筹备设立期间招收学生</w:t>
            </w:r>
            <w:r>
              <w:rPr>
                <w:rFonts w:hint="eastAsia" w:ascii="仿宋_GB2312" w:hAnsi="宋体" w:cs="宋体"/>
                <w:kern w:val="0"/>
                <w:sz w:val="21"/>
                <w:szCs w:val="21"/>
              </w:rPr>
              <w:t>的行为</w:t>
            </w:r>
            <w:r>
              <w:rPr>
                <w:rFonts w:hint="eastAsia" w:ascii="宋体" w:hAnsi="宋体" w:cs="宋体"/>
                <w:kern w:val="0"/>
                <w:sz w:val="21"/>
                <w:szCs w:val="21"/>
              </w:rPr>
              <w:t> </w:t>
            </w:r>
            <w:r>
              <w:rPr>
                <w:rFonts w:hint="eastAsia" w:ascii="宋体" w:hAnsi="宋体"/>
                <w:sz w:val="21"/>
                <w:szCs w:val="21"/>
              </w:rPr>
              <w:t> </w:t>
            </w:r>
          </w:p>
        </w:tc>
        <w:tc>
          <w:tcPr>
            <w:tcW w:w="4795" w:type="dxa"/>
            <w:vMerge w:val="restart"/>
            <w:noWrap w:val="0"/>
            <w:vAlign w:val="center"/>
          </w:tcPr>
          <w:p>
            <w:pPr>
              <w:spacing w:line="300" w:lineRule="auto"/>
              <w:rPr>
                <w:rFonts w:hint="eastAsia" w:ascii="仿宋_GB2312" w:hAnsi="宋体"/>
                <w:sz w:val="21"/>
                <w:szCs w:val="21"/>
              </w:rPr>
            </w:pPr>
            <w:r>
              <w:rPr>
                <w:rFonts w:hint="eastAsia" w:ascii="仿宋_GB2312" w:hAnsi="宋体"/>
                <w:bCs/>
                <w:sz w:val="21"/>
                <w:szCs w:val="21"/>
              </w:rPr>
              <w:t>《中华人民共和国中外合作办学条例》第五十二条：违反</w:t>
            </w:r>
            <w:r>
              <w:rPr>
                <w:rFonts w:hint="eastAsia" w:ascii="仿宋_GB2312" w:hAnsi="宋体"/>
                <w:sz w:val="21"/>
                <w:szCs w:val="21"/>
              </w:rPr>
              <w:t>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p>
            <w:pPr>
              <w:spacing w:line="300" w:lineRule="auto"/>
              <w:rPr>
                <w:rFonts w:hint="eastAsia" w:ascii="仿宋_GB2312" w:hAnsi="宋体"/>
                <w:sz w:val="21"/>
                <w:szCs w:val="21"/>
              </w:rPr>
            </w:pPr>
          </w:p>
          <w:p>
            <w:pPr>
              <w:spacing w:line="300" w:lineRule="auto"/>
              <w:rPr>
                <w:rFonts w:hint="eastAsia" w:ascii="仿宋_GB2312" w:hAnsi="宋体"/>
                <w:sz w:val="21"/>
                <w:szCs w:val="21"/>
              </w:rPr>
            </w:pPr>
          </w:p>
        </w:tc>
        <w:tc>
          <w:tcPr>
            <w:tcW w:w="2871"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责令停止招生，并处4万元以下的罚款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spacing w:line="300" w:lineRule="auto"/>
              <w:rPr>
                <w:rFonts w:hint="eastAsia" w:ascii="仿宋_GB2312" w:hAnsi="宋体"/>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责令停止招生，并处4-7万元罚款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spacing w:line="300" w:lineRule="auto"/>
              <w:rPr>
                <w:rFonts w:hint="eastAsia" w:ascii="仿宋_GB2312" w:hAnsi="宋体"/>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责令停止招生，并处7-10万元罚款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spacing w:line="300" w:lineRule="auto"/>
              <w:rPr>
                <w:rFonts w:hint="eastAsia" w:ascii="仿宋_GB2312" w:hAnsi="宋体"/>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情节严重，拒不停止招生的</w:t>
            </w:r>
          </w:p>
        </w:tc>
        <w:tc>
          <w:tcPr>
            <w:tcW w:w="3838"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撤销筹备设立批准书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3</w:t>
            </w:r>
          </w:p>
        </w:tc>
        <w:tc>
          <w:tcPr>
            <w:tcW w:w="2035" w:type="dxa"/>
            <w:vMerge w:val="restart"/>
            <w:noWrap w:val="0"/>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sz w:val="21"/>
                <w:szCs w:val="21"/>
              </w:rPr>
              <w:t>中外合作办学者虚假出资或者在中外合作办学机构成立后抽逃出资</w:t>
            </w:r>
            <w:r>
              <w:rPr>
                <w:rFonts w:hint="eastAsia" w:ascii="仿宋_GB2312" w:hAnsi="宋体" w:cs="宋体"/>
                <w:kern w:val="0"/>
                <w:sz w:val="21"/>
                <w:szCs w:val="21"/>
              </w:rPr>
              <w:t>的行为</w:t>
            </w:r>
            <w:r>
              <w:rPr>
                <w:rFonts w:hint="eastAsia" w:ascii="宋体" w:hAnsi="宋体" w:cs="宋体"/>
                <w:kern w:val="0"/>
                <w:sz w:val="21"/>
                <w:szCs w:val="21"/>
              </w:rPr>
              <w:t> </w:t>
            </w:r>
            <w:r>
              <w:rPr>
                <w:rFonts w:hint="eastAsia" w:ascii="宋体" w:hAnsi="宋体"/>
                <w:sz w:val="21"/>
                <w:szCs w:val="21"/>
              </w:rPr>
              <w:t> </w:t>
            </w:r>
          </w:p>
        </w:tc>
        <w:tc>
          <w:tcPr>
            <w:tcW w:w="4795" w:type="dxa"/>
            <w:vMerge w:val="restart"/>
            <w:noWrap w:val="0"/>
            <w:vAlign w:val="center"/>
          </w:tcPr>
          <w:p>
            <w:pPr>
              <w:rPr>
                <w:rFonts w:hint="eastAsia" w:ascii="仿宋_GB2312" w:hAnsi="Calibri"/>
                <w:b/>
                <w:sz w:val="21"/>
                <w:szCs w:val="21"/>
              </w:rPr>
            </w:pPr>
            <w:r>
              <w:rPr>
                <w:rFonts w:hint="eastAsia" w:ascii="仿宋_GB2312" w:hAnsi="宋体"/>
                <w:bCs/>
                <w:sz w:val="21"/>
                <w:szCs w:val="21"/>
              </w:rPr>
              <w:t>《中华人民共和国中外合作办学条例》第五十三条：中外合作办学者虚假出资或者在中外合作办学机构</w:t>
            </w:r>
            <w:r>
              <w:rPr>
                <w:rFonts w:hint="eastAsia" w:ascii="仿宋_GB2312" w:hAnsi="宋体"/>
                <w:sz w:val="21"/>
                <w:szCs w:val="21"/>
              </w:rPr>
              <w:t>成立后抽逃出资的，由教育行政部门、劳动行政部门按照职责分工责令限期改正；逾期不改正的，由教育行政部门、劳动行政部门按照职责分工处以虚假出资金额或者抽逃出资金额２倍以下的罚款。</w:t>
            </w:r>
          </w:p>
        </w:tc>
        <w:tc>
          <w:tcPr>
            <w:tcW w:w="2871"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逾期不改正且情节轻微，危害后果轻微的</w:t>
            </w:r>
          </w:p>
        </w:tc>
        <w:tc>
          <w:tcPr>
            <w:tcW w:w="3838"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虚假出资金额或者抽逃出资金额0.8倍以下罚款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spacing w:line="300" w:lineRule="auto"/>
              <w:rPr>
                <w:rFonts w:hint="eastAsia" w:ascii="仿宋_GB2312" w:hAnsi="宋体"/>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逾期不改正且情节一般，造成一定危害后果或不良社会影响的</w:t>
            </w:r>
          </w:p>
        </w:tc>
        <w:tc>
          <w:tcPr>
            <w:tcW w:w="3838"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虚假出资金额或者抽逃出资金额0.8-1.5倍罚款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spacing w:line="300" w:lineRule="auto"/>
              <w:rPr>
                <w:rFonts w:hint="eastAsia" w:ascii="仿宋_GB2312" w:hAnsi="宋体"/>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逾期不改正且情节严重，造成严重危害后果或恶劣社会影响的</w:t>
            </w:r>
          </w:p>
        </w:tc>
        <w:tc>
          <w:tcPr>
            <w:tcW w:w="3838"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虚假出资金额或者抽逃出资金额1.5-2倍罚款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4</w:t>
            </w:r>
          </w:p>
        </w:tc>
        <w:tc>
          <w:tcPr>
            <w:tcW w:w="2035" w:type="dxa"/>
            <w:vMerge w:val="restart"/>
            <w:noWrap w:val="0"/>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sz w:val="21"/>
                <w:szCs w:val="21"/>
              </w:rPr>
              <w:t>中外合作办学机构管理混乱、教育教学质量低下，造成恶劣影响</w:t>
            </w:r>
            <w:r>
              <w:rPr>
                <w:rFonts w:hint="eastAsia" w:ascii="仿宋_GB2312" w:hAnsi="宋体" w:cs="宋体"/>
                <w:kern w:val="0"/>
                <w:sz w:val="21"/>
                <w:szCs w:val="21"/>
              </w:rPr>
              <w:t>的行为</w:t>
            </w:r>
            <w:r>
              <w:rPr>
                <w:rFonts w:hint="eastAsia" w:ascii="宋体" w:hAnsi="宋体" w:cs="宋体"/>
                <w:kern w:val="0"/>
                <w:sz w:val="21"/>
                <w:szCs w:val="21"/>
              </w:rPr>
              <w:t> </w:t>
            </w:r>
            <w:r>
              <w:rPr>
                <w:rFonts w:hint="eastAsia" w:ascii="宋体" w:hAnsi="宋体"/>
                <w:sz w:val="21"/>
                <w:szCs w:val="21"/>
              </w:rPr>
              <w:t> </w:t>
            </w:r>
          </w:p>
        </w:tc>
        <w:tc>
          <w:tcPr>
            <w:tcW w:w="4795" w:type="dxa"/>
            <w:vMerge w:val="restart"/>
            <w:noWrap w:val="0"/>
            <w:vAlign w:val="center"/>
          </w:tcPr>
          <w:p>
            <w:pPr>
              <w:spacing w:line="240" w:lineRule="exact"/>
              <w:rPr>
                <w:rFonts w:hint="eastAsia" w:ascii="仿宋_GB2312" w:hAnsi="宋体" w:cs="宋体"/>
                <w:kern w:val="0"/>
                <w:sz w:val="21"/>
                <w:szCs w:val="21"/>
              </w:rPr>
            </w:pPr>
            <w:r>
              <w:rPr>
                <w:rFonts w:hint="eastAsia" w:ascii="仿宋_GB2312" w:hAnsi="宋体"/>
                <w:bCs/>
                <w:sz w:val="21"/>
                <w:szCs w:val="21"/>
              </w:rPr>
              <w:t>《中华人民共和国中外合作办学条例》第五十六条：</w:t>
            </w:r>
            <w:r>
              <w:rPr>
                <w:rFonts w:hint="eastAsia" w:ascii="仿宋_GB2312" w:hAnsi="宋体"/>
                <w:sz w:val="21"/>
                <w:szCs w:val="21"/>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2871" w:type="dxa"/>
            <w:noWrap w:val="0"/>
            <w:vAlign w:val="center"/>
          </w:tcPr>
          <w:p>
            <w:pPr>
              <w:widowControl/>
              <w:spacing w:beforeAutospacing="1" w:afterAutospacing="1"/>
              <w:jc w:val="left"/>
              <w:textAlignment w:val="center"/>
              <w:rPr>
                <w:rFonts w:hint="eastAsia" w:ascii="仿宋_GB2312" w:hAnsi="宋体"/>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napToGrid w:val="0"/>
              <w:spacing w:beforeAutospacing="1" w:afterAutospacing="1"/>
              <w:jc w:val="left"/>
              <w:textAlignment w:val="center"/>
              <w:rPr>
                <w:rFonts w:hint="eastAsia" w:ascii="仿宋_GB2312" w:hAnsi="宋体"/>
                <w:kern w:val="0"/>
                <w:sz w:val="21"/>
                <w:szCs w:val="21"/>
              </w:rPr>
            </w:pPr>
            <w:r>
              <w:rPr>
                <w:rFonts w:hint="eastAsia" w:ascii="仿宋_GB2312" w:hAnsi="宋体" w:cs="宋体"/>
                <w:kern w:val="0"/>
                <w:sz w:val="21"/>
                <w:szCs w:val="21"/>
              </w:rPr>
              <w:t>责令限期整顿并予以公告</w:t>
            </w: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rPr>
                <w:rFonts w:hint="eastAsia" w:ascii="仿宋_GB2312" w:hAnsi="Calibri"/>
                <w:b/>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情节严重，造成一定危害后果或不良社会影响的</w:t>
            </w:r>
          </w:p>
        </w:tc>
        <w:tc>
          <w:tcPr>
            <w:tcW w:w="3838"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责令停止招生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rPr>
                <w:rFonts w:hint="eastAsia" w:ascii="仿宋_GB2312" w:hAnsi="Calibri"/>
                <w:b/>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情节严重，造成严重后果或恶劣社会影响的</w:t>
            </w:r>
          </w:p>
        </w:tc>
        <w:tc>
          <w:tcPr>
            <w:tcW w:w="3838"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吊销办学许可证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5</w:t>
            </w:r>
          </w:p>
        </w:tc>
        <w:tc>
          <w:tcPr>
            <w:tcW w:w="2035" w:type="dxa"/>
            <w:vMerge w:val="restart"/>
            <w:noWrap w:val="0"/>
            <w:vAlign w:val="center"/>
          </w:tcPr>
          <w:p>
            <w:pPr>
              <w:widowControl/>
              <w:spacing w:beforeAutospacing="1" w:afterAutospacing="1"/>
              <w:jc w:val="left"/>
              <w:textAlignment w:val="center"/>
              <w:rPr>
                <w:rFonts w:hint="eastAsia" w:ascii="仿宋_GB2312" w:hAnsi="宋体"/>
                <w:b/>
                <w:kern w:val="0"/>
                <w:sz w:val="21"/>
                <w:szCs w:val="21"/>
              </w:rPr>
            </w:pPr>
            <w:r>
              <w:rPr>
                <w:rFonts w:hint="eastAsia" w:ascii="仿宋_GB2312"/>
                <w:sz w:val="21"/>
                <w:szCs w:val="21"/>
              </w:rPr>
              <w:t>中外合作办学机构发布虚假招生简章，骗取钱财</w:t>
            </w:r>
            <w:r>
              <w:rPr>
                <w:rFonts w:hint="eastAsia" w:ascii="仿宋_GB2312" w:hAnsi="宋体" w:cs="宋体"/>
                <w:kern w:val="0"/>
                <w:sz w:val="21"/>
                <w:szCs w:val="21"/>
              </w:rPr>
              <w:t>的行为</w:t>
            </w:r>
            <w:r>
              <w:rPr>
                <w:rFonts w:hint="eastAsia" w:ascii="宋体" w:hAnsi="宋体" w:cs="宋体"/>
                <w:kern w:val="0"/>
                <w:sz w:val="21"/>
                <w:szCs w:val="21"/>
              </w:rPr>
              <w:t> </w:t>
            </w:r>
            <w:r>
              <w:rPr>
                <w:rFonts w:hint="eastAsia"/>
                <w:sz w:val="21"/>
                <w:szCs w:val="21"/>
              </w:rPr>
              <w:t> </w:t>
            </w:r>
          </w:p>
        </w:tc>
        <w:tc>
          <w:tcPr>
            <w:tcW w:w="4795" w:type="dxa"/>
            <w:vMerge w:val="restart"/>
            <w:noWrap w:val="0"/>
            <w:vAlign w:val="center"/>
          </w:tcPr>
          <w:p>
            <w:pPr>
              <w:rPr>
                <w:rFonts w:hint="eastAsia" w:ascii="仿宋_GB2312" w:hAnsi="Calibri"/>
                <w:b/>
                <w:sz w:val="21"/>
                <w:szCs w:val="21"/>
              </w:rPr>
            </w:pPr>
            <w:r>
              <w:rPr>
                <w:rFonts w:hint="eastAsia" w:ascii="仿宋_GB2312" w:hAnsi="宋体" w:cs="宋体"/>
                <w:bCs/>
                <w:kern w:val="0"/>
                <w:sz w:val="21"/>
                <w:szCs w:val="21"/>
              </w:rPr>
              <w:t>《</w:t>
            </w:r>
            <w:r>
              <w:rPr>
                <w:rFonts w:hint="eastAsia" w:ascii="仿宋_GB2312" w:hAnsi="宋体"/>
                <w:bCs/>
                <w:sz w:val="21"/>
                <w:szCs w:val="21"/>
              </w:rPr>
              <w:t>中华人民共和国中外合作办学条例》第五十七条：违反本条例的规定，发布虚假招生简章，骗取钱财的，由教育行政部门、劳动行政部门按照职责分工，责令限期改正并予以警告；有违法所得的，退还所收费用后没收违法所得，并处以10万元以下的罚款；情节严重的，责令停止招生、吊销中外合作办学许可证；构成犯罪的，依照刑法关于诈骗罪或其他罪的规定，依法追究刑事责任。</w:t>
            </w:r>
            <w:r>
              <w:rPr>
                <w:rFonts w:hint="eastAsia" w:ascii="宋体" w:hAnsi="宋体"/>
                <w:bCs/>
                <w:sz w:val="21"/>
                <w:szCs w:val="21"/>
              </w:rPr>
              <w:t>  </w:t>
            </w:r>
          </w:p>
        </w:tc>
        <w:tc>
          <w:tcPr>
            <w:tcW w:w="2871" w:type="dxa"/>
            <w:noWrap w:val="0"/>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cs="宋体"/>
                <w:color w:val="000000"/>
                <w:kern w:val="0"/>
                <w:sz w:val="21"/>
                <w:szCs w:val="21"/>
              </w:rPr>
              <w:t>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rPr>
                <w:rFonts w:hint="eastAsia" w:ascii="仿宋_GB2312" w:hAnsi="Calibri"/>
                <w:b/>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情节一般，造成社会影响和危害后果较小的</w:t>
            </w:r>
          </w:p>
        </w:tc>
        <w:tc>
          <w:tcPr>
            <w:tcW w:w="3838"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没收违法所得；并处以5万元以下的罚款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rPr>
                <w:rFonts w:hint="eastAsia" w:ascii="仿宋_GB2312" w:hAnsi="Calibri"/>
                <w:b/>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cs="宋体"/>
                <w:color w:val="000000"/>
                <w:kern w:val="0"/>
                <w:sz w:val="21"/>
                <w:szCs w:val="21"/>
              </w:rPr>
              <w:t>情节严重，造成一定危害后果或不良社会影响的</w:t>
            </w:r>
            <w:r>
              <w:rPr>
                <w:rFonts w:hint="eastAsia" w:ascii="宋体" w:hAnsi="宋体"/>
                <w:sz w:val="21"/>
                <w:szCs w:val="21"/>
              </w:rPr>
              <w:t> </w:t>
            </w:r>
          </w:p>
        </w:tc>
        <w:tc>
          <w:tcPr>
            <w:tcW w:w="3838" w:type="dxa"/>
            <w:noWrap w:val="0"/>
            <w:vAlign w:val="center"/>
          </w:tcPr>
          <w:p>
            <w:pPr>
              <w:widowControl/>
              <w:spacing w:beforeAutospacing="1" w:afterAutospacing="1"/>
              <w:jc w:val="left"/>
              <w:textAlignment w:val="center"/>
              <w:rPr>
                <w:rFonts w:hint="eastAsia" w:ascii="仿宋_GB2312" w:hAnsi="宋体"/>
                <w:sz w:val="21"/>
                <w:szCs w:val="21"/>
              </w:rPr>
            </w:pPr>
            <w:r>
              <w:rPr>
                <w:rFonts w:hint="eastAsia" w:ascii="仿宋_GB2312" w:hAnsi="宋体" w:cs="宋体"/>
                <w:color w:val="000000"/>
                <w:kern w:val="0"/>
                <w:sz w:val="21"/>
                <w:szCs w:val="21"/>
              </w:rPr>
              <w:t>没收违法所得；并处以5-10万元罚款，</w:t>
            </w:r>
            <w:r>
              <w:rPr>
                <w:rFonts w:hint="eastAsia" w:ascii="仿宋_GB2312" w:hAnsi="宋体"/>
                <w:sz w:val="21"/>
                <w:szCs w:val="21"/>
              </w:rPr>
              <w:t>责令停止招生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rPr>
                <w:rFonts w:hint="eastAsia" w:ascii="仿宋_GB2312" w:hAnsi="Calibri"/>
                <w:b/>
                <w:sz w:val="21"/>
                <w:szCs w:val="21"/>
              </w:rPr>
            </w:pPr>
          </w:p>
        </w:tc>
        <w:tc>
          <w:tcPr>
            <w:tcW w:w="4795" w:type="dxa"/>
            <w:vMerge w:val="continue"/>
            <w:noWrap w:val="0"/>
            <w:vAlign w:val="center"/>
          </w:tcPr>
          <w:p>
            <w:pPr>
              <w:rPr>
                <w:rFonts w:hint="eastAsia" w:ascii="仿宋_GB2312" w:hAnsi="Calibri"/>
                <w:b/>
                <w:sz w:val="21"/>
                <w:szCs w:val="21"/>
              </w:rPr>
            </w:pPr>
          </w:p>
        </w:tc>
        <w:tc>
          <w:tcPr>
            <w:tcW w:w="2871"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rPr>
                <w:rFonts w:hint="eastAsia" w:ascii="仿宋_GB2312" w:hAnsi="宋体"/>
                <w:sz w:val="21"/>
                <w:szCs w:val="21"/>
              </w:rPr>
            </w:pPr>
            <w:r>
              <w:rPr>
                <w:rFonts w:hint="eastAsia" w:ascii="仿宋_GB2312" w:hAnsi="宋体" w:cs="宋体"/>
                <w:color w:val="000000"/>
                <w:kern w:val="0"/>
                <w:sz w:val="21"/>
                <w:szCs w:val="21"/>
              </w:rPr>
              <w:t>没收违法所得；并处以5-10万元罚款</w:t>
            </w:r>
            <w:r>
              <w:rPr>
                <w:rFonts w:hint="eastAsia" w:ascii="仿宋_GB2312" w:hAnsi="Calibri" w:cs="宋体"/>
                <w:color w:val="000000"/>
                <w:kern w:val="0"/>
                <w:sz w:val="21"/>
                <w:szCs w:val="21"/>
              </w:rPr>
              <w:t>，</w:t>
            </w:r>
            <w:r>
              <w:rPr>
                <w:rFonts w:hint="eastAsia" w:ascii="仿宋_GB2312" w:hAnsi="宋体" w:cs="宋体"/>
                <w:color w:val="000000"/>
                <w:kern w:val="0"/>
                <w:sz w:val="21"/>
                <w:szCs w:val="21"/>
              </w:rPr>
              <w:t>吊销办学许可证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6</w:t>
            </w:r>
          </w:p>
        </w:tc>
        <w:tc>
          <w:tcPr>
            <w:tcW w:w="2035" w:type="dxa"/>
            <w:vMerge w:val="restart"/>
            <w:noWrap w:val="0"/>
            <w:vAlign w:val="center"/>
          </w:tcPr>
          <w:p>
            <w:pPr>
              <w:widowControl/>
              <w:jc w:val="left"/>
              <w:rPr>
                <w:rFonts w:hint="eastAsia" w:ascii="仿宋_GB2312" w:hAnsi="Calibri"/>
                <w:b/>
                <w:sz w:val="21"/>
                <w:szCs w:val="21"/>
              </w:rPr>
            </w:pPr>
            <w:r>
              <w:rPr>
                <w:rFonts w:hint="eastAsia" w:ascii="仿宋_GB2312" w:hAnsi="宋体" w:cs="宋体"/>
                <w:color w:val="000000"/>
                <w:kern w:val="0"/>
                <w:sz w:val="21"/>
                <w:szCs w:val="21"/>
              </w:rPr>
              <w:t>中外合作办学项目发布虚假招生简章或者招生广告，骗取钱财的行为</w:t>
            </w:r>
          </w:p>
        </w:tc>
        <w:tc>
          <w:tcPr>
            <w:tcW w:w="4795" w:type="dxa"/>
            <w:vMerge w:val="restart"/>
            <w:noWrap w:val="0"/>
            <w:vAlign w:val="center"/>
          </w:tcPr>
          <w:p>
            <w:pPr>
              <w:widowControl/>
              <w:spacing w:line="220" w:lineRule="exact"/>
              <w:jc w:val="left"/>
              <w:rPr>
                <w:rFonts w:hint="eastAsia" w:ascii="仿宋_GB2312" w:hAnsi="Calibri"/>
                <w:b/>
                <w:sz w:val="21"/>
                <w:szCs w:val="21"/>
              </w:rPr>
            </w:pPr>
            <w:r>
              <w:rPr>
                <w:rFonts w:hint="eastAsia" w:ascii="仿宋_GB2312" w:hAnsi="宋体" w:cs="宋体"/>
                <w:color w:val="000000"/>
                <w:kern w:val="0"/>
                <w:sz w:val="21"/>
                <w:szCs w:val="21"/>
              </w:rPr>
              <w:t>《中华人民共和国中外合作办学条例实施办法》第五十七条第（一）项：中外合作办学项目有下列情形之一的，由审批机关责令限期改正，并视情节轻重，处以警告或者3万元以下的罚款；对负有责任的主管人员和其他直接责任人员，依法给予行政处分：（一）发布虚假招生简章或者招生广告，骗取钱财的。</w:t>
            </w: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spacing w:line="220" w:lineRule="exact"/>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spacing w:line="220" w:lineRule="exact"/>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7</w:t>
            </w:r>
          </w:p>
        </w:tc>
        <w:tc>
          <w:tcPr>
            <w:tcW w:w="2035" w:type="dxa"/>
            <w:vMerge w:val="restart"/>
            <w:noWrap w:val="0"/>
            <w:vAlign w:val="center"/>
          </w:tcPr>
          <w:p>
            <w:pPr>
              <w:widowControl/>
              <w:jc w:val="left"/>
              <w:rPr>
                <w:rFonts w:hint="eastAsia" w:ascii="仿宋_GB2312" w:hAnsi="Calibri"/>
                <w:b/>
                <w:sz w:val="21"/>
                <w:szCs w:val="21"/>
              </w:rPr>
            </w:pPr>
            <w:r>
              <w:rPr>
                <w:rFonts w:hint="eastAsia" w:ascii="仿宋_GB2312" w:hAnsi="宋体" w:cs="宋体"/>
                <w:color w:val="000000"/>
                <w:kern w:val="0"/>
                <w:sz w:val="21"/>
                <w:szCs w:val="21"/>
              </w:rPr>
              <w:t>中外合作办学项目擅自增加收费项目或者提高收费标准的行为</w:t>
            </w:r>
          </w:p>
        </w:tc>
        <w:tc>
          <w:tcPr>
            <w:tcW w:w="4795" w:type="dxa"/>
            <w:vMerge w:val="restart"/>
            <w:noWrap w:val="0"/>
            <w:vAlign w:val="center"/>
          </w:tcPr>
          <w:p>
            <w:pPr>
              <w:widowControl/>
              <w:spacing w:line="220" w:lineRule="exact"/>
              <w:jc w:val="left"/>
              <w:rPr>
                <w:rFonts w:hint="eastAsia" w:ascii="仿宋_GB2312" w:hAnsi="宋体" w:cs="宋体"/>
                <w:color w:val="000000"/>
                <w:kern w:val="0"/>
                <w:sz w:val="21"/>
                <w:szCs w:val="21"/>
              </w:rPr>
            </w:pPr>
            <w:r>
              <w:rPr>
                <w:rFonts w:hint="eastAsia" w:ascii="仿宋_GB2312" w:hAnsi="宋体" w:cs="宋体"/>
                <w:color w:val="000000"/>
                <w:kern w:val="0"/>
                <w:sz w:val="21"/>
                <w:szCs w:val="21"/>
              </w:rPr>
              <w:t>《中华人民共和国中外合作办学条例实施办法》第五十七条第（二）项：中外合作办学项目有下列情形之一的，由审批机关责令限期改正，并视情节轻重，处以警告或者3万元以下的罚款；对负有责任的主管人员和其他直接责任人员，依法给予行政处分：（二）擅自增加收费项目或者提高收费标准的。</w:t>
            </w: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spacing w:line="220" w:lineRule="exact"/>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spacing w:line="220" w:lineRule="exact"/>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8</w:t>
            </w:r>
          </w:p>
        </w:tc>
        <w:tc>
          <w:tcPr>
            <w:tcW w:w="2035" w:type="dxa"/>
            <w:vMerge w:val="restart"/>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中外合作办学项目管理混乱，教育教学质量低下的行为</w:t>
            </w:r>
          </w:p>
        </w:tc>
        <w:tc>
          <w:tcPr>
            <w:tcW w:w="4795" w:type="dxa"/>
            <w:vMerge w:val="restart"/>
            <w:noWrap w:val="0"/>
            <w:vAlign w:val="center"/>
          </w:tcPr>
          <w:p>
            <w:pPr>
              <w:widowControl/>
              <w:spacing w:line="220" w:lineRule="exact"/>
              <w:jc w:val="left"/>
              <w:rPr>
                <w:rFonts w:hint="eastAsia" w:ascii="仿宋_GB2312" w:hAnsi="Calibri"/>
                <w:b/>
                <w:sz w:val="21"/>
                <w:szCs w:val="21"/>
              </w:rPr>
            </w:pPr>
            <w:r>
              <w:rPr>
                <w:rFonts w:hint="eastAsia" w:ascii="仿宋_GB2312" w:hAnsi="宋体" w:cs="宋体"/>
                <w:color w:val="000000"/>
                <w:kern w:val="0"/>
                <w:sz w:val="21"/>
                <w:szCs w:val="21"/>
              </w:rPr>
              <w:t>《中华人民共和国中外合作办学条例实施办法》第五十七条第（三）项：中外合作办学项目有下列情形之一的，由审批机关责令限期改正，并视情节轻重，处以警告或者3万元以下的罚款；对负有责任的主管人员和其他直接责任人员，依法给予行政处分：（三）管理混乱，教育教学质量低下的。</w:t>
            </w: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spacing w:line="220" w:lineRule="exact"/>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02" w:type="dxa"/>
            <w:vMerge w:val="continue"/>
            <w:noWrap w:val="0"/>
            <w:vAlign w:val="center"/>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spacing w:line="220" w:lineRule="exact"/>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2" w:type="dxa"/>
            <w:vMerge w:val="restart"/>
            <w:noWrap w:val="0"/>
            <w:vAlign w:val="center"/>
          </w:tcPr>
          <w:p>
            <w:pPr>
              <w:jc w:val="center"/>
              <w:rPr>
                <w:rFonts w:hint="eastAsia" w:ascii="仿宋_GB2312" w:hAnsi="Calibri"/>
                <w:b/>
                <w:sz w:val="21"/>
                <w:szCs w:val="21"/>
              </w:rPr>
            </w:pPr>
            <w:r>
              <w:rPr>
                <w:rFonts w:hint="eastAsia" w:ascii="仿宋_GB2312" w:hAnsi="Calibri"/>
                <w:b/>
                <w:sz w:val="21"/>
                <w:szCs w:val="21"/>
              </w:rPr>
              <w:t>9</w:t>
            </w:r>
          </w:p>
        </w:tc>
        <w:tc>
          <w:tcPr>
            <w:tcW w:w="2035" w:type="dxa"/>
            <w:vMerge w:val="restart"/>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中外合作办学项目有未按照国家有关规定进行财务管理或对办学结余进行分配的行为</w:t>
            </w:r>
          </w:p>
        </w:tc>
        <w:tc>
          <w:tcPr>
            <w:tcW w:w="4795" w:type="dxa"/>
            <w:vMerge w:val="restart"/>
            <w:noWrap w:val="0"/>
            <w:vAlign w:val="center"/>
          </w:tcPr>
          <w:p>
            <w:pPr>
              <w:widowControl/>
              <w:spacing w:line="220" w:lineRule="exact"/>
              <w:rPr>
                <w:rFonts w:hint="eastAsia" w:ascii="仿宋_GB2312" w:hAnsi="Calibri"/>
                <w:b/>
                <w:sz w:val="21"/>
                <w:szCs w:val="21"/>
              </w:rPr>
            </w:pPr>
            <w:r>
              <w:rPr>
                <w:rFonts w:hint="eastAsia" w:ascii="仿宋_GB2312" w:hAnsi="宋体" w:cs="宋体"/>
                <w:color w:val="000000"/>
                <w:kern w:val="0"/>
                <w:sz w:val="21"/>
                <w:szCs w:val="21"/>
              </w:rPr>
              <w:t>《中华人民共和国中外合作办学条例实施办法》第五十七条第（四）、（五）项：中外合作办学项目有下列情形之一的，由审批机关责令限期改正，并视情节轻重，处以警告或者3万元以下的罚款；对负有责任的主管人员和其他直接责任人员，依法给予行政处分：（四）未按照国家有关规定进行财务管理的；（五）对办学结余进行分配的。</w:t>
            </w: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情节轻微，危害后果轻微的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02" w:type="dxa"/>
            <w:vMerge w:val="continue"/>
            <w:noWrap w:val="0"/>
            <w:vAlign w:val="top"/>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情节一般，造成一定危害后果或不良社会影响的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vMerge w:val="continue"/>
            <w:noWrap w:val="0"/>
            <w:vAlign w:val="top"/>
          </w:tcPr>
          <w:p>
            <w:pPr>
              <w:jc w:val="center"/>
              <w:rPr>
                <w:rFonts w:hint="eastAsia" w:ascii="仿宋_GB2312" w:hAnsi="Calibri"/>
                <w:b/>
                <w:sz w:val="21"/>
                <w:szCs w:val="21"/>
              </w:rPr>
            </w:pPr>
          </w:p>
        </w:tc>
        <w:tc>
          <w:tcPr>
            <w:tcW w:w="2035" w:type="dxa"/>
            <w:vMerge w:val="continue"/>
            <w:noWrap w:val="0"/>
            <w:vAlign w:val="center"/>
          </w:tcPr>
          <w:p>
            <w:pPr>
              <w:widowControl/>
              <w:jc w:val="left"/>
              <w:rPr>
                <w:rFonts w:hint="eastAsia" w:ascii="仿宋_GB2312" w:hAnsi="Calibri"/>
                <w:b/>
                <w:sz w:val="21"/>
                <w:szCs w:val="21"/>
              </w:rPr>
            </w:pPr>
          </w:p>
        </w:tc>
        <w:tc>
          <w:tcPr>
            <w:tcW w:w="4795" w:type="dxa"/>
            <w:vMerge w:val="continue"/>
            <w:noWrap w:val="0"/>
            <w:vAlign w:val="center"/>
          </w:tcPr>
          <w:p>
            <w:pPr>
              <w:widowControl/>
              <w:jc w:val="left"/>
              <w:rPr>
                <w:rFonts w:hint="eastAsia" w:ascii="仿宋_GB2312" w:hAnsi="Calibri"/>
                <w:b/>
                <w:sz w:val="21"/>
                <w:szCs w:val="21"/>
              </w:rPr>
            </w:pPr>
          </w:p>
        </w:tc>
        <w:tc>
          <w:tcPr>
            <w:tcW w:w="2871" w:type="dxa"/>
            <w:noWrap w:val="0"/>
            <w:vAlign w:val="center"/>
          </w:tcPr>
          <w:p>
            <w:pPr>
              <w:widowControl/>
              <w:spacing w:line="240" w:lineRule="exact"/>
              <w:rPr>
                <w:rFonts w:hint="eastAsia" w:ascii="仿宋_GB2312" w:hAnsi="宋体" w:cs="宋体"/>
                <w:color w:val="000000"/>
                <w:kern w:val="0"/>
                <w:sz w:val="21"/>
                <w:szCs w:val="21"/>
              </w:rPr>
            </w:pPr>
            <w:r>
              <w:rPr>
                <w:rFonts w:hint="eastAsia" w:ascii="仿宋_GB2312" w:hAnsi="宋体" w:cs="宋体"/>
                <w:color w:val="000000"/>
                <w:kern w:val="0"/>
                <w:sz w:val="21"/>
                <w:szCs w:val="21"/>
              </w:rPr>
              <w:t>情节严重，造成严重危害后果或恶劣社会影响的</w:t>
            </w:r>
          </w:p>
        </w:tc>
        <w:tc>
          <w:tcPr>
            <w:tcW w:w="3838"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1-3万元罚款</w:t>
            </w:r>
          </w:p>
        </w:tc>
      </w:tr>
    </w:tbl>
    <w:p>
      <w:pPr>
        <w:spacing w:line="360" w:lineRule="auto"/>
        <w:jc w:val="center"/>
        <w:rPr>
          <w:rFonts w:hint="eastAsia" w:ascii="黑体" w:hAnsi="Calibri" w:eastAsia="黑体"/>
          <w:szCs w:val="32"/>
        </w:rPr>
      </w:pPr>
    </w:p>
    <w:p>
      <w:pPr>
        <w:spacing w:line="360" w:lineRule="auto"/>
        <w:jc w:val="center"/>
        <w:rPr>
          <w:rFonts w:hint="eastAsia" w:ascii="黑体" w:hAnsi="Calibri" w:eastAsia="黑体"/>
          <w:szCs w:val="32"/>
        </w:rPr>
      </w:pPr>
    </w:p>
    <w:p>
      <w:pPr>
        <w:spacing w:line="360" w:lineRule="auto"/>
        <w:jc w:val="center"/>
        <w:rPr>
          <w:rFonts w:hint="eastAsia" w:ascii="黑体" w:hAnsi="Calibri" w:eastAsia="黑体"/>
          <w:szCs w:val="32"/>
        </w:rPr>
      </w:pPr>
    </w:p>
    <w:p>
      <w:pPr>
        <w:spacing w:line="360" w:lineRule="auto"/>
        <w:jc w:val="center"/>
        <w:rPr>
          <w:rFonts w:hint="eastAsia" w:ascii="黑体" w:hAnsi="Calibri" w:eastAsia="黑体"/>
          <w:szCs w:val="32"/>
        </w:rPr>
      </w:pPr>
    </w:p>
    <w:p>
      <w:pPr>
        <w:spacing w:line="360" w:lineRule="auto"/>
        <w:jc w:val="center"/>
        <w:rPr>
          <w:rFonts w:hint="eastAsia" w:ascii="黑体" w:hAnsi="Calibri" w:eastAsia="黑体"/>
          <w:szCs w:val="32"/>
        </w:rPr>
      </w:pPr>
    </w:p>
    <w:p>
      <w:pPr>
        <w:spacing w:line="360" w:lineRule="auto"/>
        <w:jc w:val="center"/>
        <w:rPr>
          <w:rFonts w:hint="eastAsia" w:ascii="黑体" w:hAnsi="Calibri" w:eastAsia="黑体"/>
          <w:szCs w:val="32"/>
        </w:rPr>
      </w:pPr>
    </w:p>
    <w:p>
      <w:pPr>
        <w:spacing w:line="360" w:lineRule="auto"/>
        <w:jc w:val="center"/>
        <w:rPr>
          <w:rFonts w:ascii="黑体" w:hAnsi="Calibri" w:eastAsia="黑体"/>
          <w:szCs w:val="32"/>
        </w:rPr>
      </w:pPr>
      <w:r>
        <w:rPr>
          <w:rFonts w:hint="eastAsia" w:ascii="黑体" w:hAnsi="Calibri" w:eastAsia="黑体"/>
          <w:szCs w:val="32"/>
        </w:rPr>
        <w:t>（五）教师类</w:t>
      </w:r>
    </w:p>
    <w:tbl>
      <w:tblPr>
        <w:tblStyle w:val="82"/>
        <w:tblpPr w:leftFromText="180" w:rightFromText="180" w:vertAnchor="text" w:horzAnchor="page" w:tblpX="1731" w:tblpY="728"/>
        <w:tblOverlap w:val="never"/>
        <w:tblW w:w="14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28"/>
        <w:gridCol w:w="4327"/>
        <w:gridCol w:w="3139"/>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17" w:type="dxa"/>
            <w:noWrap/>
            <w:vAlign w:val="center"/>
          </w:tcPr>
          <w:p>
            <w:pPr>
              <w:jc w:val="center"/>
              <w:rPr>
                <w:rFonts w:hint="eastAsia" w:ascii="仿宋_GB2312" w:hAnsi="Calibri"/>
                <w:b/>
                <w:sz w:val="24"/>
                <w:szCs w:val="22"/>
              </w:rPr>
            </w:pPr>
            <w:r>
              <w:rPr>
                <w:rFonts w:hint="eastAsia" w:ascii="仿宋_GB2312" w:hAnsi="Calibri"/>
                <w:b/>
                <w:sz w:val="24"/>
                <w:szCs w:val="22"/>
              </w:rPr>
              <w:t>序号</w:t>
            </w:r>
          </w:p>
        </w:tc>
        <w:tc>
          <w:tcPr>
            <w:tcW w:w="1928" w:type="dxa"/>
            <w:noWrap/>
            <w:vAlign w:val="center"/>
          </w:tcPr>
          <w:p>
            <w:pPr>
              <w:jc w:val="center"/>
              <w:rPr>
                <w:rFonts w:hint="eastAsia" w:ascii="仿宋_GB2312" w:hAnsi="Calibri"/>
                <w:b/>
                <w:sz w:val="24"/>
                <w:szCs w:val="22"/>
              </w:rPr>
            </w:pPr>
            <w:r>
              <w:rPr>
                <w:rFonts w:hint="eastAsia" w:ascii="仿宋_GB2312" w:hAnsi="Calibri"/>
                <w:b/>
                <w:sz w:val="24"/>
                <w:szCs w:val="22"/>
              </w:rPr>
              <w:t>违法行为</w:t>
            </w:r>
          </w:p>
        </w:tc>
        <w:tc>
          <w:tcPr>
            <w:tcW w:w="4327" w:type="dxa"/>
            <w:noWrap/>
            <w:vAlign w:val="center"/>
          </w:tcPr>
          <w:p>
            <w:pPr>
              <w:jc w:val="center"/>
              <w:rPr>
                <w:rFonts w:hint="eastAsia" w:ascii="仿宋_GB2312" w:hAnsi="Calibri"/>
                <w:b/>
                <w:sz w:val="24"/>
                <w:szCs w:val="22"/>
              </w:rPr>
            </w:pPr>
            <w:r>
              <w:rPr>
                <w:rFonts w:hint="eastAsia" w:ascii="仿宋_GB2312" w:hAnsi="Calibri"/>
                <w:b/>
                <w:sz w:val="24"/>
                <w:szCs w:val="22"/>
              </w:rPr>
              <w:t>处罚依据</w:t>
            </w:r>
          </w:p>
        </w:tc>
        <w:tc>
          <w:tcPr>
            <w:tcW w:w="3139" w:type="dxa"/>
            <w:noWrap/>
            <w:vAlign w:val="center"/>
          </w:tcPr>
          <w:p>
            <w:pPr>
              <w:jc w:val="center"/>
              <w:rPr>
                <w:rFonts w:hint="eastAsia" w:ascii="仿宋_GB2312" w:hAnsi="Calibri"/>
                <w:b/>
                <w:sz w:val="24"/>
                <w:szCs w:val="22"/>
              </w:rPr>
            </w:pPr>
            <w:r>
              <w:rPr>
                <w:rFonts w:hint="eastAsia" w:ascii="仿宋_GB2312" w:hAnsi="Calibri"/>
                <w:b/>
                <w:sz w:val="24"/>
                <w:szCs w:val="22"/>
              </w:rPr>
              <w:t>适用情形</w:t>
            </w:r>
          </w:p>
        </w:tc>
        <w:tc>
          <w:tcPr>
            <w:tcW w:w="3930" w:type="dxa"/>
            <w:noWrap/>
            <w:vAlign w:val="center"/>
          </w:tcPr>
          <w:p>
            <w:pPr>
              <w:jc w:val="center"/>
              <w:rPr>
                <w:rFonts w:hint="eastAsia" w:ascii="仿宋_GB2312" w:hAnsi="Calibri"/>
                <w:b/>
                <w:sz w:val="24"/>
                <w:szCs w:val="22"/>
              </w:rPr>
            </w:pPr>
            <w:r>
              <w:rPr>
                <w:rFonts w:hint="eastAsia" w:ascii="仿宋_GB2312" w:hAnsi="Calibri"/>
                <w:b/>
                <w:sz w:val="24"/>
                <w:szCs w:val="22"/>
              </w:rPr>
              <w:t>自由裁量基准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17" w:type="dxa"/>
            <w:noWrap/>
            <w:vAlign w:val="center"/>
          </w:tcPr>
          <w:p>
            <w:pPr>
              <w:jc w:val="center"/>
              <w:rPr>
                <w:rFonts w:hint="eastAsia" w:ascii="仿宋_GB2312" w:hAnsi="Calibri"/>
                <w:b/>
                <w:sz w:val="21"/>
                <w:szCs w:val="21"/>
              </w:rPr>
            </w:pPr>
            <w:r>
              <w:rPr>
                <w:rFonts w:hint="eastAsia" w:ascii="仿宋_GB2312" w:hAnsi="Calibri"/>
                <w:b/>
                <w:sz w:val="21"/>
                <w:szCs w:val="21"/>
              </w:rPr>
              <w:t>1</w:t>
            </w:r>
          </w:p>
        </w:tc>
        <w:tc>
          <w:tcPr>
            <w:tcW w:w="1928" w:type="dxa"/>
            <w:noWrap/>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参加教师资格考试有作弊行为</w:t>
            </w:r>
          </w:p>
        </w:tc>
        <w:tc>
          <w:tcPr>
            <w:tcW w:w="4327" w:type="dxa"/>
            <w:noWrap/>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《教师资格条例》第二十条：参加教师资格考试有作弊行为的，其考试成绩作废，３年内不得再次参加教师资格考试。</w:t>
            </w:r>
          </w:p>
        </w:tc>
        <w:tc>
          <w:tcPr>
            <w:tcW w:w="3139" w:type="dxa"/>
            <w:noWrap/>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参加教师资格考试有作弊行为</w:t>
            </w:r>
          </w:p>
        </w:tc>
        <w:tc>
          <w:tcPr>
            <w:tcW w:w="3930" w:type="dxa"/>
            <w:noWrap/>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３年内不得再次参加教师资格考试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jc w:val="center"/>
              <w:rPr>
                <w:rFonts w:hint="eastAsia" w:ascii="仿宋_GB2312" w:hAnsi="Calibri"/>
                <w:b/>
                <w:sz w:val="21"/>
                <w:szCs w:val="21"/>
              </w:rPr>
            </w:pPr>
            <w:r>
              <w:rPr>
                <w:rFonts w:hint="eastAsia" w:ascii="仿宋_GB2312" w:hAnsi="Calibri"/>
                <w:b/>
                <w:sz w:val="21"/>
                <w:szCs w:val="21"/>
              </w:rPr>
              <w:t>2</w:t>
            </w:r>
          </w:p>
        </w:tc>
        <w:tc>
          <w:tcPr>
            <w:tcW w:w="1928"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弄虚作假、骗取教师资格的行为</w:t>
            </w:r>
          </w:p>
        </w:tc>
        <w:tc>
          <w:tcPr>
            <w:tcW w:w="4327"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《教师资格条例》第十九条第一款第（一）项：有下列情形之一的，由县级以上人民政府教育行政部门撤销其教师资格：（一）弄虚作假、骗取教师资格的。</w:t>
            </w:r>
          </w:p>
        </w:tc>
        <w:tc>
          <w:tcPr>
            <w:tcW w:w="3139"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弄虚作假、骗取教师资格的行为</w:t>
            </w:r>
          </w:p>
        </w:tc>
        <w:tc>
          <w:tcPr>
            <w:tcW w:w="3930" w:type="dxa"/>
            <w:noWrap w:val="0"/>
            <w:vAlign w:val="center"/>
          </w:tcPr>
          <w:p>
            <w:pPr>
              <w:widowControl/>
              <w:rPr>
                <w:rFonts w:hint="eastAsia" w:ascii="仿宋_GB2312" w:hAnsi="宋体" w:cs="宋体"/>
                <w:kern w:val="0"/>
                <w:sz w:val="21"/>
                <w:szCs w:val="21"/>
              </w:rPr>
            </w:pPr>
            <w:r>
              <w:rPr>
                <w:rFonts w:hint="eastAsia" w:ascii="仿宋_GB2312" w:hAnsi="宋体" w:cs="宋体"/>
                <w:color w:val="000000"/>
                <w:kern w:val="0"/>
                <w:sz w:val="21"/>
                <w:szCs w:val="21"/>
              </w:rPr>
              <w:t>撤销教师资格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17" w:type="dxa"/>
            <w:noWrap w:val="0"/>
            <w:vAlign w:val="center"/>
          </w:tcPr>
          <w:p>
            <w:pPr>
              <w:jc w:val="center"/>
              <w:rPr>
                <w:rFonts w:hint="eastAsia" w:ascii="仿宋_GB2312" w:hAnsi="Calibri"/>
                <w:b/>
                <w:sz w:val="21"/>
                <w:szCs w:val="21"/>
              </w:rPr>
            </w:pPr>
            <w:r>
              <w:rPr>
                <w:rFonts w:hint="eastAsia" w:ascii="仿宋_GB2312" w:hAnsi="Calibri"/>
                <w:b/>
                <w:sz w:val="21"/>
                <w:szCs w:val="21"/>
              </w:rPr>
              <w:t>3</w:t>
            </w:r>
          </w:p>
        </w:tc>
        <w:tc>
          <w:tcPr>
            <w:tcW w:w="1928"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品行不良、侮辱学生，影响恶劣的行为</w:t>
            </w:r>
          </w:p>
        </w:tc>
        <w:tc>
          <w:tcPr>
            <w:tcW w:w="4327"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《教师资格条例》第十九条第一款第（二）项：有下列情形之一的，由县级以上人民政府教育行政部门撤销其教师资格：（二）品行不良、侮辱学生，影响恶劣的。</w:t>
            </w:r>
          </w:p>
        </w:tc>
        <w:tc>
          <w:tcPr>
            <w:tcW w:w="3139"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品行不良、侮辱学生，影响恶劣的行为</w:t>
            </w:r>
          </w:p>
        </w:tc>
        <w:tc>
          <w:tcPr>
            <w:tcW w:w="3930" w:type="dxa"/>
            <w:noWrap w:val="0"/>
            <w:vAlign w:val="center"/>
          </w:tcPr>
          <w:p>
            <w:pPr>
              <w:widowControl/>
              <w:rPr>
                <w:rFonts w:hint="eastAsia" w:ascii="仿宋_GB2312" w:hAnsi="Calibri"/>
                <w:b/>
                <w:sz w:val="21"/>
                <w:szCs w:val="21"/>
              </w:rPr>
            </w:pPr>
            <w:r>
              <w:rPr>
                <w:rFonts w:hint="eastAsia" w:ascii="仿宋_GB2312" w:hAnsi="宋体" w:cs="宋体"/>
                <w:color w:val="000000"/>
                <w:kern w:val="0"/>
                <w:sz w:val="21"/>
                <w:szCs w:val="21"/>
              </w:rPr>
              <w:t>撤销教师资格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6" w:hRule="atLeast"/>
        </w:trPr>
        <w:tc>
          <w:tcPr>
            <w:tcW w:w="817" w:type="dxa"/>
            <w:noWrap w:val="0"/>
            <w:vAlign w:val="center"/>
          </w:tcPr>
          <w:p>
            <w:pPr>
              <w:jc w:val="center"/>
              <w:rPr>
                <w:rFonts w:hint="eastAsia" w:ascii="仿宋_GB2312" w:hAnsi="Calibri"/>
                <w:b/>
                <w:sz w:val="21"/>
                <w:szCs w:val="21"/>
              </w:rPr>
            </w:pPr>
            <w:r>
              <w:rPr>
                <w:rFonts w:hint="eastAsia" w:ascii="仿宋_GB2312" w:hAnsi="Calibri"/>
                <w:b/>
                <w:sz w:val="21"/>
                <w:szCs w:val="21"/>
              </w:rPr>
              <w:t>4</w:t>
            </w:r>
          </w:p>
        </w:tc>
        <w:tc>
          <w:tcPr>
            <w:tcW w:w="1928" w:type="dxa"/>
            <w:noWrap w:val="0"/>
            <w:vAlign w:val="center"/>
          </w:tcPr>
          <w:p>
            <w:pPr>
              <w:widowControl/>
              <w:jc w:val="left"/>
              <w:rPr>
                <w:rFonts w:hint="eastAsia" w:ascii="仿宋_GB2312" w:hAnsi="Calibri"/>
                <w:b/>
                <w:sz w:val="21"/>
                <w:szCs w:val="21"/>
              </w:rPr>
            </w:pPr>
            <w:r>
              <w:rPr>
                <w:rFonts w:hint="eastAsia" w:ascii="仿宋_GB2312" w:hAnsi="宋体" w:cs="宋体"/>
                <w:color w:val="000000"/>
                <w:sz w:val="21"/>
                <w:szCs w:val="21"/>
              </w:rPr>
              <w:t>教职工实施《未成年人学校保护规定》第二十四条第二款禁止行为</w:t>
            </w:r>
          </w:p>
        </w:tc>
        <w:tc>
          <w:tcPr>
            <w:tcW w:w="4327" w:type="dxa"/>
            <w:noWrap w:val="0"/>
            <w:vAlign w:val="center"/>
          </w:tcPr>
          <w:p>
            <w:pPr>
              <w:widowControl/>
              <w:jc w:val="left"/>
              <w:rPr>
                <w:rFonts w:hint="eastAsia" w:ascii="仿宋_GB2312" w:hAnsi="宋体" w:cs="宋体"/>
                <w:color w:val="000000"/>
                <w:kern w:val="0"/>
                <w:sz w:val="21"/>
                <w:szCs w:val="21"/>
              </w:rPr>
            </w:pPr>
            <w:r>
              <w:rPr>
                <w:rFonts w:hint="eastAsia" w:ascii="仿宋_GB2312" w:hAnsi="宋体" w:cs="宋体"/>
                <w:color w:val="000000"/>
                <w:sz w:val="21"/>
                <w:szCs w:val="21"/>
              </w:rPr>
              <w:t>《未成年人学校保护规定》第六十条第二款：教职工实施第二十四条第二款禁止行为的，应当依法予以开除或者解聘；有教师资格的，由主管教育行政部门撤销教师资格，纳入从业禁止人员名单；涉嫌犯罪的，移送有关部门依法追究责任。</w:t>
            </w:r>
          </w:p>
          <w:p>
            <w:pPr>
              <w:widowControl/>
              <w:jc w:val="left"/>
              <w:rPr>
                <w:rFonts w:hint="eastAsia" w:ascii="仿宋_GB2312" w:hAnsi="Calibri"/>
                <w:b/>
                <w:sz w:val="21"/>
                <w:szCs w:val="21"/>
              </w:rPr>
            </w:pPr>
            <w:r>
              <w:rPr>
                <w:rFonts w:hint="eastAsia" w:ascii="仿宋_GB2312" w:hAnsi="宋体" w:cs="宋体"/>
                <w:color w:val="000000"/>
                <w:sz w:val="21"/>
                <w:szCs w:val="21"/>
              </w:rPr>
              <w:t>《未成年人学校保护规定》第二十四条第二款第（一）至（六）项：学校应当采取必要措施预防并制止教职工以及其他进入校园的人员实施以下行为：（一）与学生发生恋爱关系、性关系；（二）抚摸、故意触碰学生身体特定部位等猥亵行为；（三）对学生作出调戏、挑逗或者具有性暗示的言行；（四）向学生展示传播包含色情、淫秽内容的信息、书刊、影片、音像、图片或者其他淫秽物品；（五）持有包含淫秽、色情内容的视听、图文资料；（六）其他构成性骚扰、性侵害的违法犯罪行为。</w:t>
            </w:r>
          </w:p>
        </w:tc>
        <w:tc>
          <w:tcPr>
            <w:tcW w:w="3139" w:type="dxa"/>
            <w:noWrap w:val="0"/>
            <w:vAlign w:val="center"/>
          </w:tcPr>
          <w:p>
            <w:pPr>
              <w:rPr>
                <w:rFonts w:hint="eastAsia" w:ascii="仿宋_GB2312" w:hAnsi="宋体" w:cs="宋体"/>
                <w:kern w:val="0"/>
                <w:sz w:val="21"/>
                <w:szCs w:val="21"/>
              </w:rPr>
            </w:pPr>
            <w:r>
              <w:rPr>
                <w:rFonts w:hint="eastAsia" w:ascii="仿宋_GB2312" w:hAnsi="宋体" w:cs="宋体"/>
                <w:color w:val="000000"/>
                <w:sz w:val="21"/>
                <w:szCs w:val="21"/>
              </w:rPr>
              <w:t>教职工实施《未成年人学校保护规定》第二十四条第二款禁止行为的</w:t>
            </w:r>
          </w:p>
        </w:tc>
        <w:tc>
          <w:tcPr>
            <w:tcW w:w="3930" w:type="dxa"/>
            <w:noWrap w:val="0"/>
            <w:vAlign w:val="center"/>
          </w:tcPr>
          <w:p>
            <w:pPr>
              <w:widowControl/>
              <w:rPr>
                <w:rFonts w:hint="eastAsia" w:ascii="仿宋_GB2312" w:hAnsi="宋体" w:cs="宋体"/>
                <w:color w:val="000000"/>
                <w:kern w:val="0"/>
                <w:sz w:val="21"/>
                <w:szCs w:val="21"/>
              </w:rPr>
            </w:pPr>
            <w:r>
              <w:rPr>
                <w:rFonts w:hint="eastAsia" w:ascii="仿宋_GB2312" w:hAnsi="宋体" w:cs="宋体"/>
                <w:color w:val="000000"/>
                <w:kern w:val="0"/>
                <w:sz w:val="21"/>
                <w:szCs w:val="21"/>
              </w:rPr>
              <w:t>撤销教师资格</w:t>
            </w:r>
          </w:p>
        </w:tc>
      </w:tr>
    </w:tbl>
    <w:p>
      <w:pPr>
        <w:adjustRightInd w:val="0"/>
        <w:snapToGrid w:val="0"/>
        <w:spacing w:line="560" w:lineRule="exact"/>
        <w:ind w:firstLine="280" w:firstLineChars="100"/>
        <w:rPr>
          <w:sz w:val="28"/>
          <w:szCs w:val="28"/>
        </w:rPr>
        <w:sectPr>
          <w:pgSz w:w="16838" w:h="11906" w:orient="landscape"/>
          <w:pgMar w:top="1531" w:right="1814" w:bottom="1531" w:left="1814" w:header="851" w:footer="992" w:gutter="0"/>
          <w:cols w:space="720" w:num="1"/>
          <w:docGrid w:linePitch="312" w:charSpace="0"/>
        </w:sect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ind w:firstLine="280" w:firstLineChars="100"/>
        <w:rPr>
          <w:rFonts w:hint="eastAsia"/>
          <w:sz w:val="28"/>
          <w:szCs w:val="28"/>
        </w:rPr>
      </w:pPr>
    </w:p>
    <w:p>
      <w:pPr>
        <w:adjustRightInd w:val="0"/>
        <w:snapToGrid w:val="0"/>
        <w:spacing w:line="560" w:lineRule="exact"/>
        <w:rPr>
          <w:rFonts w:hint="eastAsia"/>
          <w:sz w:val="28"/>
          <w:szCs w:val="28"/>
        </w:rPr>
      </w:pPr>
    </w:p>
    <w:p>
      <w:pPr>
        <w:adjustRightInd w:val="0"/>
        <w:snapToGrid w:val="0"/>
        <w:spacing w:line="560" w:lineRule="exact"/>
        <w:ind w:firstLine="280" w:firstLineChars="100"/>
        <w:rPr>
          <w:rFonts w:hint="eastAsia"/>
          <w:sz w:val="28"/>
          <w:szCs w:val="28"/>
        </w:rPr>
      </w:pPr>
    </w:p>
    <w:p>
      <w:pPr>
        <w:spacing w:line="480" w:lineRule="exact"/>
        <w:ind w:firstLine="280" w:firstLineChars="100"/>
        <w:rPr>
          <w:rFonts w:hint="eastAsia"/>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347345</wp:posOffset>
                </wp:positionV>
                <wp:extent cx="5615940" cy="0"/>
                <wp:effectExtent l="0" t="4445" r="0" b="5080"/>
                <wp:wrapNone/>
                <wp:docPr id="6" name="Line 9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96" o:spid="_x0000_s1026" o:spt="20" style="position:absolute;left:0pt;margin-left:0pt;margin-top:27.35pt;height:0pt;width:442.2pt;z-index:251660288;mso-width-relative:page;mso-height-relative:page;" filled="f" stroked="t" coordsize="21600,21600" o:gfxdata="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L8DSy1AAAAAYBAAAPAAAAAAAAAAEA&#10;IAAAADgAAABkcnMvZG93bnJldi54bWxQSwECFAAUAAAACACHTuJAodEUyMQBAACPAwAADgAAAAAA&#10;AAABACAAAAA5AQAAZHJzL2Uyb0RvYy54bWxQSwUGAAAAAAYABgBZAQAAbwUAAAAA&#10;">
                <v:fill on="f" focussize="0,0"/>
                <v:stroke color="#000000" joinstyle="round"/>
                <v:imagedata o:title=""/>
                <o:lock v:ext="edit" aspectratio="f"/>
              </v:line>
            </w:pict>
          </mc:Fallback>
        </mc:AlternateContent>
      </w:r>
      <w:r>
        <w:rPr>
          <w:sz w:val="28"/>
          <w:szCs w:val="28"/>
        </w:rPr>
        <w:t xml:space="preserve">西藏自治区教育厅办公室               </w:t>
      </w:r>
      <w:r>
        <w:rPr>
          <w:rFonts w:hint="eastAsia"/>
          <w:sz w:val="28"/>
          <w:szCs w:val="28"/>
        </w:rPr>
        <w:t xml:space="preserve">  </w:t>
      </w:r>
      <w:r>
        <w:rPr>
          <w:sz w:val="28"/>
          <w:szCs w:val="28"/>
        </w:rPr>
        <w:t xml:space="preserve"> 202</w:t>
      </w:r>
      <w:r>
        <w:rPr>
          <w:rFonts w:hint="eastAsia"/>
          <w:sz w:val="28"/>
          <w:szCs w:val="28"/>
        </w:rPr>
        <w:t>3</w:t>
      </w:r>
      <w:r>
        <w:rPr>
          <w:sz w:val="28"/>
          <w:szCs w:val="28"/>
        </w:rPr>
        <w:t>年</w:t>
      </w:r>
      <w:r>
        <w:rPr>
          <w:rFonts w:hint="eastAsia"/>
          <w:sz w:val="28"/>
          <w:szCs w:val="28"/>
        </w:rPr>
        <w:t>7月10日印</w:t>
      </w:r>
      <w:r>
        <w:rPr>
          <w:sz w:val="28"/>
          <w:szCs w:val="28"/>
        </w:rPr>
        <w:t>发</w:t>
      </w:r>
      <w:r>
        <w:rPr>
          <w:sz w:val="28"/>
          <w:szCs w:val="28"/>
        </w:rPr>
        <w:drawing>
          <wp:anchor distT="0" distB="0" distL="114300" distR="114300" simplePos="0" relativeHeight="251661312" behindDoc="0" locked="1" layoutInCell="1" allowOverlap="1">
            <wp:simplePos x="0" y="0"/>
            <wp:positionH relativeFrom="column">
              <wp:posOffset>3836035</wp:posOffset>
            </wp:positionH>
            <wp:positionV relativeFrom="paragraph">
              <wp:posOffset>387350</wp:posOffset>
            </wp:positionV>
            <wp:extent cx="1696720" cy="381635"/>
            <wp:effectExtent l="0" t="0" r="17780" b="18415"/>
            <wp:wrapNone/>
            <wp:docPr id="7" name="Picture 97" descr="通知_藏教发〔2018〕4号"/>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97" descr="通知_藏教发〔2018〕4号"/>
                    <pic:cNvPicPr>
                      <a:picLocks noChangeAspect="true"/>
                    </pic:cNvPicPr>
                  </pic:nvPicPr>
                  <pic:blipFill>
                    <a:blip r:embed="rId7"/>
                    <a:stretch>
                      <a:fillRect/>
                    </a:stretch>
                  </pic:blipFill>
                  <pic:spPr>
                    <a:xfrm>
                      <a:off x="0" y="0"/>
                      <a:ext cx="1696720" cy="381635"/>
                    </a:xfrm>
                    <a:prstGeom prst="rect">
                      <a:avLst/>
                    </a:prstGeom>
                    <a:noFill/>
                    <a:ln>
                      <a:noFill/>
                    </a:ln>
                  </pic:spPr>
                </pic:pic>
              </a:graphicData>
            </a:graphic>
          </wp:anchor>
        </w:drawing>
      </w:r>
      <w:r>
        <w:rPr>
          <w:sz w:val="28"/>
          <w:szCs w:val="28"/>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22225</wp:posOffset>
                </wp:positionV>
                <wp:extent cx="5615940" cy="0"/>
                <wp:effectExtent l="0" t="4445" r="0" b="5080"/>
                <wp:wrapNone/>
                <wp:docPr id="5" name="Line 9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Line 95" o:spid="_x0000_s1026" o:spt="20" style="position:absolute;left:0pt;margin-left:0pt;margin-top:1.75pt;height:0pt;width:442.2pt;z-index:251659264;mso-width-relative:page;mso-height-relative:page;" filled="f" stroked="t" coordsize="21600,21600" o:gfxdata="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JzvMZHTAAAABAEAAA8AAAAAAAAAAQAg&#10;AAAAOAAAAGRycy9kb3ducmV2LnhtbFBLAQIUABQAAAAIAIdO4kCklvJTxAEAAI8DAAAOAAAAAAAA&#10;AAEAIAAAADgBAABkcnMvZTJvRG9jLnhtbFBLBQYAAAAABgAGAFkBAABuBQAAAAA=&#10;">
                <v:fill on="f" focussize="0,0"/>
                <v:stroke color="#000000" joinstyle="round"/>
                <v:imagedata o:title=""/>
                <o:lock v:ext="edit" aspectratio="f"/>
                <w10:anchorlock/>
              </v:line>
            </w:pict>
          </mc:Fallback>
        </mc:AlternateContent>
      </w:r>
    </w:p>
    <w:sectPr>
      <w:pgSz w:w="11906" w:h="16838"/>
      <w:pgMar w:top="1814" w:right="1531" w:bottom="1814"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等线 Light">
    <w:altName w:val="华文仿宋"/>
    <w:panose1 w:val="02010600030101010101"/>
    <w:charset w:val="00"/>
    <w:family w:val="auto"/>
    <w:pitch w:val="default"/>
    <w:sig w:usb0="00000000" w:usb1="00000000" w:usb2="00000016" w:usb3="00000000" w:csb0="0004000F" w:csb1="00000000"/>
  </w:font>
  <w:font w:name="等线">
    <w:altName w:val="华文仿宋"/>
    <w:panose1 w:val="02010600030101010101"/>
    <w:charset w:val="00"/>
    <w:family w:val="auto"/>
    <w:pitch w:val="default"/>
    <w:sig w:usb0="00000000" w:usb1="00000000" w:usb2="00000016" w:usb3="00000000" w:csb0="0004000F" w:csb1="00000000"/>
  </w:font>
  <w:font w:name="小标宋">
    <w:altName w:val="方正小标宋_GBK"/>
    <w:panose1 w:val="03000509000000000000"/>
    <w:charset w:val="00"/>
    <w:family w:val="script"/>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outside" w:y="1"/>
      <w:ind w:left="320" w:leftChars="100" w:right="320" w:rightChars="100"/>
      <w:rPr>
        <w:rStyle w:val="130"/>
        <w:rFonts w:ascii="宋体"/>
        <w:b/>
        <w:bCs/>
        <w:sz w:val="28"/>
      </w:rPr>
    </w:pPr>
    <w:r>
      <w:rPr>
        <w:rStyle w:val="130"/>
        <w:rFonts w:hint="eastAsia"/>
        <w:sz w:val="28"/>
      </w:rPr>
      <w:t>—</w:t>
    </w:r>
    <w:r>
      <w:rPr>
        <w:rStyle w:val="130"/>
        <w:sz w:val="28"/>
      </w:rPr>
      <w:t xml:space="preserve"> </w:t>
    </w:r>
    <w:r>
      <w:rPr>
        <w:sz w:val="28"/>
      </w:rPr>
      <w:fldChar w:fldCharType="begin"/>
    </w:r>
    <w:r>
      <w:rPr>
        <w:rStyle w:val="130"/>
        <w:sz w:val="28"/>
      </w:rPr>
      <w:instrText xml:space="preserve">PAGE  </w:instrText>
    </w:r>
    <w:r>
      <w:rPr>
        <w:sz w:val="28"/>
      </w:rPr>
      <w:fldChar w:fldCharType="separate"/>
    </w:r>
    <w:r>
      <w:rPr>
        <w:rStyle w:val="130"/>
        <w:sz w:val="28"/>
      </w:rPr>
      <w:t>11</w:t>
    </w:r>
    <w:r>
      <w:rPr>
        <w:sz w:val="28"/>
      </w:rPr>
      <w:fldChar w:fldCharType="end"/>
    </w:r>
    <w:r>
      <w:rPr>
        <w:rStyle w:val="130"/>
        <w:sz w:val="28"/>
      </w:rPr>
      <w:t xml:space="preserve"> </w:t>
    </w:r>
    <w:r>
      <w:rPr>
        <w:rStyle w:val="130"/>
        <w:rFonts w:hint="eastAsia"/>
        <w:sz w:val="28"/>
      </w:rPr>
      <w:t>—</w:t>
    </w:r>
  </w:p>
  <w:p>
    <w:pPr>
      <w:pStyle w:val="5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outside" w:y="1"/>
      <w:rPr>
        <w:rStyle w:val="130"/>
      </w:rPr>
    </w:pPr>
    <w:r>
      <w:fldChar w:fldCharType="begin"/>
    </w:r>
    <w:r>
      <w:rPr>
        <w:rStyle w:val="130"/>
      </w:rPr>
      <w:instrText xml:space="preserve">PAGE  </w:instrText>
    </w:r>
    <w:r>
      <w:fldChar w:fldCharType="separate"/>
    </w:r>
    <w:r>
      <w:rPr>
        <w:rStyle w:val="130"/>
      </w:rPr>
      <w:t>1</w:t>
    </w:r>
    <w:r>
      <w:fldChar w:fldCharType="end"/>
    </w:r>
  </w:p>
  <w:p>
    <w:pPr>
      <w:pStyle w:val="5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97B8E"/>
    <w:multiLevelType w:val="singleLevel"/>
    <w:tmpl w:val="AAD97B8E"/>
    <w:lvl w:ilvl="0" w:tentative="0">
      <w:start w:val="1"/>
      <w:numFmt w:val="decimal"/>
      <w:pStyle w:val="13"/>
      <w:lvlText w:val="%1."/>
      <w:lvlJc w:val="left"/>
      <w:pPr>
        <w:tabs>
          <w:tab w:val="left" w:pos="312"/>
        </w:tabs>
      </w:pPr>
    </w:lvl>
  </w:abstractNum>
  <w:abstractNum w:abstractNumId="1">
    <w:nsid w:val="C9147FFA"/>
    <w:multiLevelType w:val="singleLevel"/>
    <w:tmpl w:val="C9147FFA"/>
    <w:lvl w:ilvl="0" w:tentative="0">
      <w:start w:val="4"/>
      <w:numFmt w:val="chineseCounting"/>
      <w:pStyle w:val="45"/>
      <w:suff w:val="nothing"/>
      <w:lvlText w:val="%1、"/>
      <w:lvlJc w:val="left"/>
      <w:rPr>
        <w:rFonts w:hint="eastAsia"/>
      </w:rPr>
    </w:lvl>
  </w:abstractNum>
  <w:abstractNum w:abstractNumId="2">
    <w:nsid w:val="F7A70800"/>
    <w:multiLevelType w:val="singleLevel"/>
    <w:tmpl w:val="F7A70800"/>
    <w:lvl w:ilvl="0" w:tentative="0">
      <w:start w:val="1"/>
      <w:numFmt w:val="chineseCounting"/>
      <w:pStyle w:val="39"/>
      <w:suff w:val="nothing"/>
      <w:lvlText w:val="（%1）"/>
      <w:lvlJc w:val="left"/>
      <w:rPr>
        <w:rFonts w:hint="eastAsia"/>
      </w:rPr>
    </w:lvl>
  </w:abstractNum>
  <w:abstractNum w:abstractNumId="3">
    <w:nsid w:val="F8F9A30B"/>
    <w:multiLevelType w:val="singleLevel"/>
    <w:tmpl w:val="F8F9A30B"/>
    <w:lvl w:ilvl="0" w:tentative="0">
      <w:start w:val="1"/>
      <w:numFmt w:val="chineseCounting"/>
      <w:pStyle w:val="35"/>
      <w:suff w:val="nothing"/>
      <w:lvlText w:val="%1、"/>
      <w:lvlJc w:val="left"/>
      <w:rPr>
        <w:rFonts w:hint="eastAsia"/>
      </w:rPr>
    </w:lvl>
  </w:abstractNum>
  <w:abstractNum w:abstractNumId="4">
    <w:nsid w:val="FA0A583F"/>
    <w:multiLevelType w:val="singleLevel"/>
    <w:tmpl w:val="FA0A583F"/>
    <w:lvl w:ilvl="0" w:tentative="0">
      <w:start w:val="2"/>
      <w:numFmt w:val="chineseCounting"/>
      <w:pStyle w:val="32"/>
      <w:suff w:val="nothing"/>
      <w:lvlText w:val="%1、"/>
      <w:lvlJc w:val="left"/>
      <w:rPr>
        <w:rFonts w:hint="eastAsia"/>
      </w:rPr>
    </w:lvl>
  </w:abstractNum>
  <w:abstractNum w:abstractNumId="5">
    <w:nsid w:val="FFFFFF7F"/>
    <w:multiLevelType w:val="singleLevel"/>
    <w:tmpl w:val="FFFFFF7F"/>
    <w:lvl w:ilvl="0" w:tentative="0">
      <w:start w:val="1"/>
      <w:numFmt w:val="decimal"/>
      <w:pStyle w:val="291"/>
      <w:lvlText w:val="%1."/>
      <w:lvlJc w:val="left"/>
      <w:pPr>
        <w:tabs>
          <w:tab w:val="left" w:pos="780"/>
        </w:tabs>
        <w:ind w:left="780" w:hanging="360"/>
      </w:pPr>
    </w:lvl>
  </w:abstractNum>
  <w:abstractNum w:abstractNumId="6">
    <w:nsid w:val="FFFFFF81"/>
    <w:multiLevelType w:val="singleLevel"/>
    <w:tmpl w:val="FFFFFF81"/>
    <w:lvl w:ilvl="0" w:tentative="0">
      <w:start w:val="1"/>
      <w:numFmt w:val="bullet"/>
      <w:pStyle w:val="296"/>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331"/>
      <w:lvlText w:val=""/>
      <w:lvlJc w:val="left"/>
      <w:pPr>
        <w:tabs>
          <w:tab w:val="left" w:pos="1200"/>
        </w:tabs>
        <w:ind w:left="1200" w:hanging="360"/>
      </w:pPr>
      <w:rPr>
        <w:rFonts w:hint="default" w:ascii="Wingdings" w:hAnsi="Wingdings"/>
      </w:rPr>
    </w:lvl>
  </w:abstractNum>
  <w:abstractNum w:abstractNumId="8">
    <w:nsid w:val="FFFFFF88"/>
    <w:multiLevelType w:val="singleLevel"/>
    <w:tmpl w:val="FFFFFF88"/>
    <w:lvl w:ilvl="0" w:tentative="0">
      <w:start w:val="1"/>
      <w:numFmt w:val="decimal"/>
      <w:pStyle w:val="32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4"/>
      <w:lvlText w:val=""/>
      <w:lvlJc w:val="left"/>
      <w:pPr>
        <w:tabs>
          <w:tab w:val="left" w:pos="360"/>
        </w:tabs>
        <w:ind w:left="360" w:hanging="360"/>
      </w:pPr>
      <w:rPr>
        <w:rFonts w:hint="default" w:ascii="Wingdings" w:hAnsi="Wingdings"/>
      </w:rPr>
    </w:lvl>
  </w:abstractNum>
  <w:abstractNum w:abstractNumId="10">
    <w:nsid w:val="29FF1BB0"/>
    <w:multiLevelType w:val="singleLevel"/>
    <w:tmpl w:val="29FF1BB0"/>
    <w:lvl w:ilvl="0" w:tentative="0">
      <w:start w:val="2"/>
      <w:numFmt w:val="chineseCounting"/>
      <w:pStyle w:val="19"/>
      <w:suff w:val="nothing"/>
      <w:lvlText w:val="（%1）"/>
      <w:lvlJc w:val="left"/>
      <w:pPr>
        <w:ind w:left="-10"/>
      </w:pPr>
      <w:rPr>
        <w:rFonts w:hint="eastAsia"/>
      </w:rPr>
    </w:lvl>
  </w:abstractNum>
  <w:abstractNum w:abstractNumId="11">
    <w:nsid w:val="34EB52AE"/>
    <w:multiLevelType w:val="singleLevel"/>
    <w:tmpl w:val="34EB52AE"/>
    <w:lvl w:ilvl="0" w:tentative="0">
      <w:start w:val="2"/>
      <w:numFmt w:val="decimal"/>
      <w:pStyle w:val="16"/>
      <w:lvlText w:val="%1."/>
      <w:lvlJc w:val="left"/>
      <w:pPr>
        <w:tabs>
          <w:tab w:val="left" w:pos="312"/>
        </w:tabs>
      </w:pPr>
    </w:lvl>
  </w:abstractNum>
  <w:abstractNum w:abstractNumId="12">
    <w:nsid w:val="364F269C"/>
    <w:multiLevelType w:val="multilevel"/>
    <w:tmpl w:val="364F269C"/>
    <w:lvl w:ilvl="0" w:tentative="0">
      <w:start w:val="1"/>
      <w:numFmt w:val="japaneseCounting"/>
      <w:pStyle w:val="23"/>
      <w:lvlText w:val="%1、"/>
      <w:lvlJc w:val="left"/>
      <w:pPr>
        <w:ind w:left="1352" w:hanging="720"/>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13">
    <w:nsid w:val="3F4C6D17"/>
    <w:multiLevelType w:val="singleLevel"/>
    <w:tmpl w:val="3F4C6D17"/>
    <w:lvl w:ilvl="0" w:tentative="0">
      <w:start w:val="1"/>
      <w:numFmt w:val="chineseCounting"/>
      <w:pStyle w:val="44"/>
      <w:suff w:val="nothing"/>
      <w:lvlText w:val="（%1）"/>
      <w:lvlJc w:val="left"/>
      <w:pPr>
        <w:ind w:left="-10"/>
      </w:pPr>
      <w:rPr>
        <w:rFonts w:hint="eastAsia" w:ascii="方正楷体_GBK" w:hAnsi="方正楷体_GBK" w:eastAsia="方正楷体_GBK" w:cs="方正楷体_GBK"/>
      </w:rPr>
    </w:lvl>
  </w:abstractNum>
  <w:abstractNum w:abstractNumId="14">
    <w:nsid w:val="3F7D110A"/>
    <w:multiLevelType w:val="singleLevel"/>
    <w:tmpl w:val="3F7D110A"/>
    <w:lvl w:ilvl="0" w:tentative="0">
      <w:start w:val="1"/>
      <w:numFmt w:val="chineseCounting"/>
      <w:pStyle w:val="61"/>
      <w:suff w:val="nothing"/>
      <w:lvlText w:val="%1、"/>
      <w:lvlJc w:val="left"/>
      <w:rPr>
        <w:rFonts w:hint="eastAsia"/>
      </w:rPr>
    </w:lvl>
  </w:abstractNum>
  <w:num w:numId="1">
    <w:abstractNumId w:val="0"/>
  </w:num>
  <w:num w:numId="2">
    <w:abstractNumId w:val="11"/>
  </w:num>
  <w:num w:numId="3">
    <w:abstractNumId w:val="10"/>
  </w:num>
  <w:num w:numId="4">
    <w:abstractNumId w:val="12"/>
  </w:num>
  <w:num w:numId="5">
    <w:abstractNumId w:val="4"/>
  </w:num>
  <w:num w:numId="6">
    <w:abstractNumId w:val="3"/>
  </w:num>
  <w:num w:numId="7">
    <w:abstractNumId w:val="2"/>
  </w:num>
  <w:num w:numId="8">
    <w:abstractNumId w:val="13"/>
  </w:num>
  <w:num w:numId="9">
    <w:abstractNumId w:val="1"/>
  </w:num>
  <w:num w:numId="10">
    <w:abstractNumId w:val="14"/>
  </w:num>
  <w:num w:numId="11">
    <w:abstractNumId w:val="5"/>
  </w:num>
  <w:num w:numId="12">
    <w:abstractNumId w:val="6"/>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ZTkwN2MxNzQ3M2YzZDk5ODJjN2M3ZTBjMDFhYzEifQ=="/>
  </w:docVars>
  <w:rsids>
    <w:rsidRoot w:val="002D1222"/>
    <w:rsid w:val="00000424"/>
    <w:rsid w:val="00003BD6"/>
    <w:rsid w:val="000041B3"/>
    <w:rsid w:val="000073C7"/>
    <w:rsid w:val="00011263"/>
    <w:rsid w:val="00013300"/>
    <w:rsid w:val="000307D8"/>
    <w:rsid w:val="000311EA"/>
    <w:rsid w:val="00034A16"/>
    <w:rsid w:val="00036BB0"/>
    <w:rsid w:val="00037562"/>
    <w:rsid w:val="00040D64"/>
    <w:rsid w:val="00050D73"/>
    <w:rsid w:val="00051ADE"/>
    <w:rsid w:val="00051C8D"/>
    <w:rsid w:val="0005472A"/>
    <w:rsid w:val="00056D76"/>
    <w:rsid w:val="000578BF"/>
    <w:rsid w:val="00071520"/>
    <w:rsid w:val="00071E36"/>
    <w:rsid w:val="000730FA"/>
    <w:rsid w:val="00077113"/>
    <w:rsid w:val="00081777"/>
    <w:rsid w:val="00093DC4"/>
    <w:rsid w:val="000A315D"/>
    <w:rsid w:val="000A387D"/>
    <w:rsid w:val="000A5BE0"/>
    <w:rsid w:val="000A6A7C"/>
    <w:rsid w:val="000B1028"/>
    <w:rsid w:val="000B4D83"/>
    <w:rsid w:val="000C1F32"/>
    <w:rsid w:val="000C67FC"/>
    <w:rsid w:val="000C767A"/>
    <w:rsid w:val="000D42AD"/>
    <w:rsid w:val="000D5262"/>
    <w:rsid w:val="000E0B11"/>
    <w:rsid w:val="000E2DD9"/>
    <w:rsid w:val="000E2F22"/>
    <w:rsid w:val="000E45A0"/>
    <w:rsid w:val="000F76F1"/>
    <w:rsid w:val="00106093"/>
    <w:rsid w:val="001157B2"/>
    <w:rsid w:val="00115B83"/>
    <w:rsid w:val="0011605E"/>
    <w:rsid w:val="00117E27"/>
    <w:rsid w:val="0012717F"/>
    <w:rsid w:val="001316CA"/>
    <w:rsid w:val="001326AF"/>
    <w:rsid w:val="001376F1"/>
    <w:rsid w:val="001407E5"/>
    <w:rsid w:val="001408D4"/>
    <w:rsid w:val="0014590F"/>
    <w:rsid w:val="00145EC1"/>
    <w:rsid w:val="001479BE"/>
    <w:rsid w:val="0015072B"/>
    <w:rsid w:val="001523C1"/>
    <w:rsid w:val="0015253C"/>
    <w:rsid w:val="001526D1"/>
    <w:rsid w:val="001546BC"/>
    <w:rsid w:val="0016085B"/>
    <w:rsid w:val="00161CA7"/>
    <w:rsid w:val="00161FDB"/>
    <w:rsid w:val="00163777"/>
    <w:rsid w:val="00164496"/>
    <w:rsid w:val="00166117"/>
    <w:rsid w:val="00170D2A"/>
    <w:rsid w:val="00176780"/>
    <w:rsid w:val="00177C99"/>
    <w:rsid w:val="00181EEB"/>
    <w:rsid w:val="00183C22"/>
    <w:rsid w:val="001863A8"/>
    <w:rsid w:val="00186679"/>
    <w:rsid w:val="00190DE8"/>
    <w:rsid w:val="00192E45"/>
    <w:rsid w:val="001A04D0"/>
    <w:rsid w:val="001A0500"/>
    <w:rsid w:val="001A3065"/>
    <w:rsid w:val="001B0894"/>
    <w:rsid w:val="001C0DAC"/>
    <w:rsid w:val="001C3E33"/>
    <w:rsid w:val="001C7375"/>
    <w:rsid w:val="001D099A"/>
    <w:rsid w:val="001E00BF"/>
    <w:rsid w:val="001E0F9D"/>
    <w:rsid w:val="001E1F0E"/>
    <w:rsid w:val="001E49AD"/>
    <w:rsid w:val="001F3160"/>
    <w:rsid w:val="001F3546"/>
    <w:rsid w:val="002020F7"/>
    <w:rsid w:val="002169BE"/>
    <w:rsid w:val="0022494A"/>
    <w:rsid w:val="002342F5"/>
    <w:rsid w:val="00235F4C"/>
    <w:rsid w:val="002362D9"/>
    <w:rsid w:val="0024523F"/>
    <w:rsid w:val="00256EB3"/>
    <w:rsid w:val="00257310"/>
    <w:rsid w:val="0026181A"/>
    <w:rsid w:val="0026482E"/>
    <w:rsid w:val="00270A91"/>
    <w:rsid w:val="00272921"/>
    <w:rsid w:val="00272A71"/>
    <w:rsid w:val="00273CDD"/>
    <w:rsid w:val="00274257"/>
    <w:rsid w:val="002757B0"/>
    <w:rsid w:val="002827DD"/>
    <w:rsid w:val="0028356A"/>
    <w:rsid w:val="00283EA6"/>
    <w:rsid w:val="0029089C"/>
    <w:rsid w:val="00291484"/>
    <w:rsid w:val="00291A83"/>
    <w:rsid w:val="002945B8"/>
    <w:rsid w:val="002A0264"/>
    <w:rsid w:val="002A040D"/>
    <w:rsid w:val="002A380C"/>
    <w:rsid w:val="002A7F2F"/>
    <w:rsid w:val="002C0F38"/>
    <w:rsid w:val="002C62B8"/>
    <w:rsid w:val="002D1222"/>
    <w:rsid w:val="002D3906"/>
    <w:rsid w:val="002D5D6F"/>
    <w:rsid w:val="002E25A0"/>
    <w:rsid w:val="002E2D11"/>
    <w:rsid w:val="002E7D45"/>
    <w:rsid w:val="00303CC3"/>
    <w:rsid w:val="00313ED9"/>
    <w:rsid w:val="00317914"/>
    <w:rsid w:val="003219E2"/>
    <w:rsid w:val="00323F21"/>
    <w:rsid w:val="00326DCF"/>
    <w:rsid w:val="00326EB6"/>
    <w:rsid w:val="00341005"/>
    <w:rsid w:val="003433EF"/>
    <w:rsid w:val="00352CE7"/>
    <w:rsid w:val="00355B3D"/>
    <w:rsid w:val="00361970"/>
    <w:rsid w:val="00361F0D"/>
    <w:rsid w:val="003637E5"/>
    <w:rsid w:val="00364E44"/>
    <w:rsid w:val="00365374"/>
    <w:rsid w:val="00370EA9"/>
    <w:rsid w:val="003821E7"/>
    <w:rsid w:val="00384B55"/>
    <w:rsid w:val="00385B80"/>
    <w:rsid w:val="00390355"/>
    <w:rsid w:val="003B419D"/>
    <w:rsid w:val="003B5AD1"/>
    <w:rsid w:val="003B64DA"/>
    <w:rsid w:val="003C37D0"/>
    <w:rsid w:val="003C52AD"/>
    <w:rsid w:val="003C6CC7"/>
    <w:rsid w:val="003C7810"/>
    <w:rsid w:val="003D0CA1"/>
    <w:rsid w:val="003D1EC0"/>
    <w:rsid w:val="003D5C18"/>
    <w:rsid w:val="003D6164"/>
    <w:rsid w:val="003D6B19"/>
    <w:rsid w:val="003E7CEC"/>
    <w:rsid w:val="003F4F37"/>
    <w:rsid w:val="003F5390"/>
    <w:rsid w:val="00402016"/>
    <w:rsid w:val="00402221"/>
    <w:rsid w:val="004023DA"/>
    <w:rsid w:val="00405CE0"/>
    <w:rsid w:val="004123DF"/>
    <w:rsid w:val="00412404"/>
    <w:rsid w:val="0043426C"/>
    <w:rsid w:val="00436CB6"/>
    <w:rsid w:val="00452D53"/>
    <w:rsid w:val="004531D4"/>
    <w:rsid w:val="00453C8F"/>
    <w:rsid w:val="00465AAF"/>
    <w:rsid w:val="00475F02"/>
    <w:rsid w:val="00476021"/>
    <w:rsid w:val="004859C6"/>
    <w:rsid w:val="004902C6"/>
    <w:rsid w:val="00491837"/>
    <w:rsid w:val="00491A56"/>
    <w:rsid w:val="00493EE1"/>
    <w:rsid w:val="00495CF2"/>
    <w:rsid w:val="004A26F1"/>
    <w:rsid w:val="004A7A33"/>
    <w:rsid w:val="004B6AA0"/>
    <w:rsid w:val="004B7D8A"/>
    <w:rsid w:val="004C3401"/>
    <w:rsid w:val="004D0140"/>
    <w:rsid w:val="004D2DEF"/>
    <w:rsid w:val="004D47C6"/>
    <w:rsid w:val="004D74FA"/>
    <w:rsid w:val="004D7C64"/>
    <w:rsid w:val="004E0723"/>
    <w:rsid w:val="004F08C2"/>
    <w:rsid w:val="004F7BF0"/>
    <w:rsid w:val="0050494B"/>
    <w:rsid w:val="00507CAE"/>
    <w:rsid w:val="005143C0"/>
    <w:rsid w:val="00515386"/>
    <w:rsid w:val="00531FC1"/>
    <w:rsid w:val="005327F7"/>
    <w:rsid w:val="00536ACC"/>
    <w:rsid w:val="00537DE0"/>
    <w:rsid w:val="00545015"/>
    <w:rsid w:val="00557334"/>
    <w:rsid w:val="005622B6"/>
    <w:rsid w:val="00563BAF"/>
    <w:rsid w:val="00564524"/>
    <w:rsid w:val="0056674C"/>
    <w:rsid w:val="0057403C"/>
    <w:rsid w:val="00574235"/>
    <w:rsid w:val="005769C9"/>
    <w:rsid w:val="00576B41"/>
    <w:rsid w:val="00595A82"/>
    <w:rsid w:val="005A339E"/>
    <w:rsid w:val="005A7850"/>
    <w:rsid w:val="005B1794"/>
    <w:rsid w:val="005B1A97"/>
    <w:rsid w:val="005B457B"/>
    <w:rsid w:val="005C04F0"/>
    <w:rsid w:val="005C4552"/>
    <w:rsid w:val="005C7000"/>
    <w:rsid w:val="005D4F00"/>
    <w:rsid w:val="005D7249"/>
    <w:rsid w:val="005E778D"/>
    <w:rsid w:val="005F0862"/>
    <w:rsid w:val="005F0D61"/>
    <w:rsid w:val="005F1CB5"/>
    <w:rsid w:val="005F70D9"/>
    <w:rsid w:val="006021F9"/>
    <w:rsid w:val="006102AB"/>
    <w:rsid w:val="00611697"/>
    <w:rsid w:val="00621231"/>
    <w:rsid w:val="00633BAD"/>
    <w:rsid w:val="0063749F"/>
    <w:rsid w:val="00637D3E"/>
    <w:rsid w:val="0064192A"/>
    <w:rsid w:val="00645909"/>
    <w:rsid w:val="00647E65"/>
    <w:rsid w:val="00651D34"/>
    <w:rsid w:val="00654089"/>
    <w:rsid w:val="006543B9"/>
    <w:rsid w:val="00665020"/>
    <w:rsid w:val="006717F6"/>
    <w:rsid w:val="0067234B"/>
    <w:rsid w:val="0067400C"/>
    <w:rsid w:val="006846CF"/>
    <w:rsid w:val="006855FB"/>
    <w:rsid w:val="006862EF"/>
    <w:rsid w:val="006A2AEA"/>
    <w:rsid w:val="006A2D4F"/>
    <w:rsid w:val="006A39F1"/>
    <w:rsid w:val="006A6306"/>
    <w:rsid w:val="006B3231"/>
    <w:rsid w:val="006B55A8"/>
    <w:rsid w:val="006C2E3B"/>
    <w:rsid w:val="006C318B"/>
    <w:rsid w:val="006C66E3"/>
    <w:rsid w:val="006C77FD"/>
    <w:rsid w:val="006D157F"/>
    <w:rsid w:val="006D16C1"/>
    <w:rsid w:val="006E0B73"/>
    <w:rsid w:val="006E23EF"/>
    <w:rsid w:val="006E2AD0"/>
    <w:rsid w:val="006E3BD0"/>
    <w:rsid w:val="006E47FC"/>
    <w:rsid w:val="006E541E"/>
    <w:rsid w:val="006E68A3"/>
    <w:rsid w:val="006F3221"/>
    <w:rsid w:val="006F7D4B"/>
    <w:rsid w:val="0070103A"/>
    <w:rsid w:val="007052FA"/>
    <w:rsid w:val="0070696E"/>
    <w:rsid w:val="00706B68"/>
    <w:rsid w:val="007148D0"/>
    <w:rsid w:val="00716B2D"/>
    <w:rsid w:val="00727B8A"/>
    <w:rsid w:val="00732D86"/>
    <w:rsid w:val="007340B3"/>
    <w:rsid w:val="00746507"/>
    <w:rsid w:val="00752A0A"/>
    <w:rsid w:val="007531BE"/>
    <w:rsid w:val="00772B36"/>
    <w:rsid w:val="007B016A"/>
    <w:rsid w:val="007B1518"/>
    <w:rsid w:val="007B36B0"/>
    <w:rsid w:val="007B46FF"/>
    <w:rsid w:val="007B4FA3"/>
    <w:rsid w:val="007C2672"/>
    <w:rsid w:val="007C3348"/>
    <w:rsid w:val="007C3836"/>
    <w:rsid w:val="007D6F7E"/>
    <w:rsid w:val="007F227B"/>
    <w:rsid w:val="007F50C1"/>
    <w:rsid w:val="007F52FA"/>
    <w:rsid w:val="00806EFC"/>
    <w:rsid w:val="00811495"/>
    <w:rsid w:val="00816947"/>
    <w:rsid w:val="00816EAC"/>
    <w:rsid w:val="00817510"/>
    <w:rsid w:val="00824CC1"/>
    <w:rsid w:val="00830F3A"/>
    <w:rsid w:val="008408DA"/>
    <w:rsid w:val="00843B35"/>
    <w:rsid w:val="00845FE4"/>
    <w:rsid w:val="00851E53"/>
    <w:rsid w:val="00862284"/>
    <w:rsid w:val="00863035"/>
    <w:rsid w:val="00865C61"/>
    <w:rsid w:val="00870497"/>
    <w:rsid w:val="00875570"/>
    <w:rsid w:val="008757F8"/>
    <w:rsid w:val="0088334F"/>
    <w:rsid w:val="008833A8"/>
    <w:rsid w:val="00883B16"/>
    <w:rsid w:val="008961BA"/>
    <w:rsid w:val="008968F2"/>
    <w:rsid w:val="008975ED"/>
    <w:rsid w:val="00897654"/>
    <w:rsid w:val="008A1703"/>
    <w:rsid w:val="008A17DD"/>
    <w:rsid w:val="008B2750"/>
    <w:rsid w:val="008B4D52"/>
    <w:rsid w:val="008B4D88"/>
    <w:rsid w:val="008B6164"/>
    <w:rsid w:val="008D4730"/>
    <w:rsid w:val="008E2B83"/>
    <w:rsid w:val="008E38E7"/>
    <w:rsid w:val="008E4E6F"/>
    <w:rsid w:val="008E6490"/>
    <w:rsid w:val="008E64FD"/>
    <w:rsid w:val="008E68E7"/>
    <w:rsid w:val="00900A11"/>
    <w:rsid w:val="00902605"/>
    <w:rsid w:val="009031BC"/>
    <w:rsid w:val="009035D7"/>
    <w:rsid w:val="0090517F"/>
    <w:rsid w:val="00906677"/>
    <w:rsid w:val="00906B06"/>
    <w:rsid w:val="00924AAD"/>
    <w:rsid w:val="0093695D"/>
    <w:rsid w:val="00942577"/>
    <w:rsid w:val="009429A8"/>
    <w:rsid w:val="00946300"/>
    <w:rsid w:val="009476BA"/>
    <w:rsid w:val="00955097"/>
    <w:rsid w:val="009560A6"/>
    <w:rsid w:val="009560B9"/>
    <w:rsid w:val="00961DC1"/>
    <w:rsid w:val="0096558D"/>
    <w:rsid w:val="00971806"/>
    <w:rsid w:val="00974239"/>
    <w:rsid w:val="00975344"/>
    <w:rsid w:val="009765CF"/>
    <w:rsid w:val="00977649"/>
    <w:rsid w:val="00985B27"/>
    <w:rsid w:val="0099060B"/>
    <w:rsid w:val="009926D7"/>
    <w:rsid w:val="009951B9"/>
    <w:rsid w:val="009A7567"/>
    <w:rsid w:val="009A768C"/>
    <w:rsid w:val="009B1B44"/>
    <w:rsid w:val="009B24EE"/>
    <w:rsid w:val="009B66C5"/>
    <w:rsid w:val="009C046D"/>
    <w:rsid w:val="009C174A"/>
    <w:rsid w:val="009C1F8F"/>
    <w:rsid w:val="009C256A"/>
    <w:rsid w:val="009C656A"/>
    <w:rsid w:val="009C66B4"/>
    <w:rsid w:val="009D2619"/>
    <w:rsid w:val="009D29EF"/>
    <w:rsid w:val="009D7138"/>
    <w:rsid w:val="009F26FA"/>
    <w:rsid w:val="009F4AF4"/>
    <w:rsid w:val="009F6AED"/>
    <w:rsid w:val="009F789F"/>
    <w:rsid w:val="00A010AA"/>
    <w:rsid w:val="00A01EFE"/>
    <w:rsid w:val="00A06D49"/>
    <w:rsid w:val="00A0782A"/>
    <w:rsid w:val="00A1174F"/>
    <w:rsid w:val="00A17A3D"/>
    <w:rsid w:val="00A205B3"/>
    <w:rsid w:val="00A20DB9"/>
    <w:rsid w:val="00A22837"/>
    <w:rsid w:val="00A23ADF"/>
    <w:rsid w:val="00A3159A"/>
    <w:rsid w:val="00A35FE0"/>
    <w:rsid w:val="00A40A7B"/>
    <w:rsid w:val="00A460D6"/>
    <w:rsid w:val="00A508E8"/>
    <w:rsid w:val="00A638D1"/>
    <w:rsid w:val="00A658B4"/>
    <w:rsid w:val="00A66D55"/>
    <w:rsid w:val="00A77B58"/>
    <w:rsid w:val="00A77C95"/>
    <w:rsid w:val="00A81B9F"/>
    <w:rsid w:val="00A84264"/>
    <w:rsid w:val="00A91E51"/>
    <w:rsid w:val="00A962F0"/>
    <w:rsid w:val="00AA510E"/>
    <w:rsid w:val="00AA6916"/>
    <w:rsid w:val="00AC0FA7"/>
    <w:rsid w:val="00AC4F49"/>
    <w:rsid w:val="00AE2B1E"/>
    <w:rsid w:val="00AE58BD"/>
    <w:rsid w:val="00AE6DCF"/>
    <w:rsid w:val="00AE7C15"/>
    <w:rsid w:val="00AF2355"/>
    <w:rsid w:val="00AF449D"/>
    <w:rsid w:val="00AF5B84"/>
    <w:rsid w:val="00AF66EE"/>
    <w:rsid w:val="00AF67A3"/>
    <w:rsid w:val="00AF67D0"/>
    <w:rsid w:val="00B04925"/>
    <w:rsid w:val="00B060BE"/>
    <w:rsid w:val="00B06A1C"/>
    <w:rsid w:val="00B21164"/>
    <w:rsid w:val="00B33E9E"/>
    <w:rsid w:val="00B3658D"/>
    <w:rsid w:val="00B45A7F"/>
    <w:rsid w:val="00B6282C"/>
    <w:rsid w:val="00B631D9"/>
    <w:rsid w:val="00B75024"/>
    <w:rsid w:val="00B77E82"/>
    <w:rsid w:val="00B83AB0"/>
    <w:rsid w:val="00B83FBB"/>
    <w:rsid w:val="00B968CC"/>
    <w:rsid w:val="00B96958"/>
    <w:rsid w:val="00BA72E2"/>
    <w:rsid w:val="00BB1731"/>
    <w:rsid w:val="00BB5F09"/>
    <w:rsid w:val="00BC1B59"/>
    <w:rsid w:val="00BC6416"/>
    <w:rsid w:val="00BD423D"/>
    <w:rsid w:val="00BD5BF1"/>
    <w:rsid w:val="00BD65C3"/>
    <w:rsid w:val="00BD7C5F"/>
    <w:rsid w:val="00BE422B"/>
    <w:rsid w:val="00BE5C21"/>
    <w:rsid w:val="00C035A3"/>
    <w:rsid w:val="00C04AF0"/>
    <w:rsid w:val="00C05DD5"/>
    <w:rsid w:val="00C061FB"/>
    <w:rsid w:val="00C143ED"/>
    <w:rsid w:val="00C15B5F"/>
    <w:rsid w:val="00C163A1"/>
    <w:rsid w:val="00C237A2"/>
    <w:rsid w:val="00C23B8F"/>
    <w:rsid w:val="00C27412"/>
    <w:rsid w:val="00C37DCD"/>
    <w:rsid w:val="00C40AB0"/>
    <w:rsid w:val="00C418F1"/>
    <w:rsid w:val="00C500CE"/>
    <w:rsid w:val="00C51896"/>
    <w:rsid w:val="00C57DFF"/>
    <w:rsid w:val="00C61B22"/>
    <w:rsid w:val="00C64C6C"/>
    <w:rsid w:val="00C74EB8"/>
    <w:rsid w:val="00C774D1"/>
    <w:rsid w:val="00C857D7"/>
    <w:rsid w:val="00C91AFD"/>
    <w:rsid w:val="00C9525D"/>
    <w:rsid w:val="00C958A8"/>
    <w:rsid w:val="00C969C7"/>
    <w:rsid w:val="00CA2C4C"/>
    <w:rsid w:val="00CA3587"/>
    <w:rsid w:val="00CA364D"/>
    <w:rsid w:val="00CB042D"/>
    <w:rsid w:val="00CB0460"/>
    <w:rsid w:val="00CB5F22"/>
    <w:rsid w:val="00CC2315"/>
    <w:rsid w:val="00CC3DD8"/>
    <w:rsid w:val="00CC4FA8"/>
    <w:rsid w:val="00CC60A2"/>
    <w:rsid w:val="00CD1B33"/>
    <w:rsid w:val="00CD1E6C"/>
    <w:rsid w:val="00CD431B"/>
    <w:rsid w:val="00CD4BF3"/>
    <w:rsid w:val="00CE17D4"/>
    <w:rsid w:val="00CE5838"/>
    <w:rsid w:val="00CF6289"/>
    <w:rsid w:val="00D063A9"/>
    <w:rsid w:val="00D069D0"/>
    <w:rsid w:val="00D0770D"/>
    <w:rsid w:val="00D1316F"/>
    <w:rsid w:val="00D13CA2"/>
    <w:rsid w:val="00D13ED0"/>
    <w:rsid w:val="00D161CF"/>
    <w:rsid w:val="00D24C45"/>
    <w:rsid w:val="00D26AE9"/>
    <w:rsid w:val="00D309C1"/>
    <w:rsid w:val="00D35EC4"/>
    <w:rsid w:val="00D36C72"/>
    <w:rsid w:val="00D37715"/>
    <w:rsid w:val="00D40639"/>
    <w:rsid w:val="00D40932"/>
    <w:rsid w:val="00D41390"/>
    <w:rsid w:val="00D41B80"/>
    <w:rsid w:val="00D459E9"/>
    <w:rsid w:val="00D46127"/>
    <w:rsid w:val="00D52EEB"/>
    <w:rsid w:val="00D602F4"/>
    <w:rsid w:val="00D61D0F"/>
    <w:rsid w:val="00D65634"/>
    <w:rsid w:val="00D664F1"/>
    <w:rsid w:val="00D75155"/>
    <w:rsid w:val="00D75486"/>
    <w:rsid w:val="00D76AE1"/>
    <w:rsid w:val="00D85A3F"/>
    <w:rsid w:val="00D86AB6"/>
    <w:rsid w:val="00DA25D4"/>
    <w:rsid w:val="00DA2BD1"/>
    <w:rsid w:val="00DA2D76"/>
    <w:rsid w:val="00DA3D06"/>
    <w:rsid w:val="00DB4F28"/>
    <w:rsid w:val="00DB615A"/>
    <w:rsid w:val="00DC44E1"/>
    <w:rsid w:val="00DC57AD"/>
    <w:rsid w:val="00DC78B6"/>
    <w:rsid w:val="00DD1D05"/>
    <w:rsid w:val="00DD42CE"/>
    <w:rsid w:val="00DD5580"/>
    <w:rsid w:val="00DE5FB1"/>
    <w:rsid w:val="00DE7FD9"/>
    <w:rsid w:val="00DF05C7"/>
    <w:rsid w:val="00DF23A7"/>
    <w:rsid w:val="00E01149"/>
    <w:rsid w:val="00E0326F"/>
    <w:rsid w:val="00E04197"/>
    <w:rsid w:val="00E071EE"/>
    <w:rsid w:val="00E10DF0"/>
    <w:rsid w:val="00E11832"/>
    <w:rsid w:val="00E11E32"/>
    <w:rsid w:val="00E172AF"/>
    <w:rsid w:val="00E22189"/>
    <w:rsid w:val="00E2240D"/>
    <w:rsid w:val="00E24B2B"/>
    <w:rsid w:val="00E2619F"/>
    <w:rsid w:val="00E301D3"/>
    <w:rsid w:val="00E303F9"/>
    <w:rsid w:val="00E323A4"/>
    <w:rsid w:val="00E3746F"/>
    <w:rsid w:val="00E40CB8"/>
    <w:rsid w:val="00E42EDA"/>
    <w:rsid w:val="00E43AAC"/>
    <w:rsid w:val="00E47F71"/>
    <w:rsid w:val="00E55AF4"/>
    <w:rsid w:val="00E57EBB"/>
    <w:rsid w:val="00E607CC"/>
    <w:rsid w:val="00E67FD1"/>
    <w:rsid w:val="00E7076A"/>
    <w:rsid w:val="00E71600"/>
    <w:rsid w:val="00E765BF"/>
    <w:rsid w:val="00E76DE4"/>
    <w:rsid w:val="00E85A11"/>
    <w:rsid w:val="00E93266"/>
    <w:rsid w:val="00E95868"/>
    <w:rsid w:val="00EA5C9E"/>
    <w:rsid w:val="00EB0522"/>
    <w:rsid w:val="00EB1950"/>
    <w:rsid w:val="00EB381A"/>
    <w:rsid w:val="00EB4E9C"/>
    <w:rsid w:val="00EB67B5"/>
    <w:rsid w:val="00EB67DE"/>
    <w:rsid w:val="00EB68A7"/>
    <w:rsid w:val="00EC0677"/>
    <w:rsid w:val="00EC1011"/>
    <w:rsid w:val="00EC217C"/>
    <w:rsid w:val="00EC3E42"/>
    <w:rsid w:val="00EC54D2"/>
    <w:rsid w:val="00EC6A13"/>
    <w:rsid w:val="00EC7C21"/>
    <w:rsid w:val="00EC7F5E"/>
    <w:rsid w:val="00ED67ED"/>
    <w:rsid w:val="00EE0034"/>
    <w:rsid w:val="00EE46E0"/>
    <w:rsid w:val="00EE470A"/>
    <w:rsid w:val="00EE5EA8"/>
    <w:rsid w:val="00EF0940"/>
    <w:rsid w:val="00EF208E"/>
    <w:rsid w:val="00EF242A"/>
    <w:rsid w:val="00EF3F77"/>
    <w:rsid w:val="00EF407C"/>
    <w:rsid w:val="00EF4C52"/>
    <w:rsid w:val="00EF58C7"/>
    <w:rsid w:val="00EF658A"/>
    <w:rsid w:val="00EF7FED"/>
    <w:rsid w:val="00F07326"/>
    <w:rsid w:val="00F07D97"/>
    <w:rsid w:val="00F11DC6"/>
    <w:rsid w:val="00F133C3"/>
    <w:rsid w:val="00F1479B"/>
    <w:rsid w:val="00F30407"/>
    <w:rsid w:val="00F306C2"/>
    <w:rsid w:val="00F309B6"/>
    <w:rsid w:val="00F34885"/>
    <w:rsid w:val="00F34E79"/>
    <w:rsid w:val="00F35BAD"/>
    <w:rsid w:val="00F44B02"/>
    <w:rsid w:val="00F45E5E"/>
    <w:rsid w:val="00F55B80"/>
    <w:rsid w:val="00F721BB"/>
    <w:rsid w:val="00F741AB"/>
    <w:rsid w:val="00F75FBD"/>
    <w:rsid w:val="00F81548"/>
    <w:rsid w:val="00F8495A"/>
    <w:rsid w:val="00F90516"/>
    <w:rsid w:val="00F9197B"/>
    <w:rsid w:val="00F9242F"/>
    <w:rsid w:val="00F97670"/>
    <w:rsid w:val="00FA16FC"/>
    <w:rsid w:val="00FA1B03"/>
    <w:rsid w:val="00FA2AAC"/>
    <w:rsid w:val="00FA5FFA"/>
    <w:rsid w:val="00FA7863"/>
    <w:rsid w:val="00FB2E8B"/>
    <w:rsid w:val="00FB3098"/>
    <w:rsid w:val="00FB6D35"/>
    <w:rsid w:val="00FC1ACE"/>
    <w:rsid w:val="00FC3D9A"/>
    <w:rsid w:val="00FC7878"/>
    <w:rsid w:val="00FD71EE"/>
    <w:rsid w:val="00FE0D38"/>
    <w:rsid w:val="00FE4349"/>
    <w:rsid w:val="00FE61AB"/>
    <w:rsid w:val="00FF433F"/>
    <w:rsid w:val="02021D56"/>
    <w:rsid w:val="050F05C1"/>
    <w:rsid w:val="0A92160C"/>
    <w:rsid w:val="12DE7825"/>
    <w:rsid w:val="162D64B7"/>
    <w:rsid w:val="1DC519D6"/>
    <w:rsid w:val="208B6245"/>
    <w:rsid w:val="32084EB3"/>
    <w:rsid w:val="4B1C090F"/>
    <w:rsid w:val="4B8D1A67"/>
    <w:rsid w:val="560A70CA"/>
    <w:rsid w:val="651F3174"/>
    <w:rsid w:val="65B6498E"/>
    <w:rsid w:val="68BE0F66"/>
    <w:rsid w:val="6DC02244"/>
    <w:rsid w:val="775734F2"/>
    <w:rsid w:val="797F34A7"/>
    <w:rsid w:val="7E1A3F8B"/>
    <w:rsid w:val="EBED12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45"/>
    <w:qFormat/>
    <w:uiPriority w:val="9"/>
    <w:pPr>
      <w:spacing w:before="100" w:beforeAutospacing="1" w:after="100" w:afterAutospacing="1"/>
      <w:jc w:val="left"/>
      <w:outlineLvl w:val="0"/>
    </w:pPr>
    <w:rPr>
      <w:rFonts w:hint="eastAsia" w:ascii="宋体" w:hAnsi="宋体" w:eastAsia="宋体"/>
      <w:b/>
      <w:kern w:val="44"/>
      <w:sz w:val="48"/>
      <w:szCs w:val="48"/>
    </w:rPr>
  </w:style>
  <w:style w:type="paragraph" w:styleId="4">
    <w:name w:val="heading 2"/>
    <w:basedOn w:val="1"/>
    <w:next w:val="1"/>
    <w:link w:val="146"/>
    <w:qFormat/>
    <w:uiPriority w:val="9"/>
    <w:pPr>
      <w:keepNext/>
      <w:keepLines/>
      <w:spacing w:before="260" w:after="260" w:line="416" w:lineRule="auto"/>
      <w:outlineLvl w:val="1"/>
    </w:pPr>
    <w:rPr>
      <w:rFonts w:ascii="Cambria" w:hAnsi="Cambria" w:eastAsia="宋体"/>
      <w:b/>
      <w:bCs/>
      <w:szCs w:val="32"/>
    </w:rPr>
  </w:style>
  <w:style w:type="paragraph" w:styleId="5">
    <w:name w:val="heading 3"/>
    <w:basedOn w:val="1"/>
    <w:next w:val="1"/>
    <w:link w:val="195"/>
    <w:qFormat/>
    <w:uiPriority w:val="9"/>
    <w:pPr>
      <w:keepNext/>
      <w:keepLines/>
      <w:widowControl/>
      <w:spacing w:before="40" w:line="259" w:lineRule="auto"/>
      <w:jc w:val="left"/>
      <w:outlineLvl w:val="2"/>
    </w:pPr>
    <w:rPr>
      <w:rFonts w:ascii="等线 Light" w:hAnsi="等线 Light" w:eastAsia="等线 Light"/>
      <w:color w:val="1F3864"/>
      <w:kern w:val="0"/>
      <w:sz w:val="24"/>
      <w:szCs w:val="24"/>
    </w:rPr>
  </w:style>
  <w:style w:type="paragraph" w:styleId="6">
    <w:name w:val="heading 4"/>
    <w:basedOn w:val="1"/>
    <w:next w:val="1"/>
    <w:link w:val="196"/>
    <w:qFormat/>
    <w:uiPriority w:val="9"/>
    <w:pPr>
      <w:keepNext/>
      <w:keepLines/>
      <w:widowControl/>
      <w:spacing w:before="40" w:line="259" w:lineRule="auto"/>
      <w:jc w:val="left"/>
      <w:outlineLvl w:val="3"/>
    </w:pPr>
    <w:rPr>
      <w:rFonts w:ascii="等线 Light" w:hAnsi="等线 Light" w:eastAsia="等线 Light"/>
      <w:i/>
      <w:iCs/>
      <w:color w:val="2F5496"/>
      <w:kern w:val="0"/>
      <w:sz w:val="22"/>
      <w:szCs w:val="22"/>
    </w:rPr>
  </w:style>
  <w:style w:type="paragraph" w:styleId="7">
    <w:name w:val="heading 5"/>
    <w:basedOn w:val="1"/>
    <w:next w:val="1"/>
    <w:link w:val="197"/>
    <w:qFormat/>
    <w:uiPriority w:val="9"/>
    <w:pPr>
      <w:keepNext/>
      <w:keepLines/>
      <w:widowControl/>
      <w:spacing w:before="40" w:line="259" w:lineRule="auto"/>
      <w:jc w:val="left"/>
      <w:outlineLvl w:val="4"/>
    </w:pPr>
    <w:rPr>
      <w:rFonts w:ascii="等线 Light" w:hAnsi="等线 Light" w:eastAsia="等线 Light"/>
      <w:color w:val="2F5496"/>
      <w:kern w:val="0"/>
      <w:sz w:val="22"/>
      <w:szCs w:val="22"/>
    </w:rPr>
  </w:style>
  <w:style w:type="paragraph" w:styleId="8">
    <w:name w:val="heading 6"/>
    <w:basedOn w:val="1"/>
    <w:next w:val="1"/>
    <w:link w:val="198"/>
    <w:qFormat/>
    <w:uiPriority w:val="9"/>
    <w:pPr>
      <w:keepNext/>
      <w:keepLines/>
      <w:widowControl/>
      <w:spacing w:before="40" w:line="259" w:lineRule="auto"/>
      <w:jc w:val="left"/>
      <w:outlineLvl w:val="5"/>
    </w:pPr>
    <w:rPr>
      <w:rFonts w:ascii="等线 Light" w:hAnsi="等线 Light" w:eastAsia="等线 Light"/>
      <w:color w:val="1F3864"/>
      <w:kern w:val="0"/>
      <w:sz w:val="22"/>
      <w:szCs w:val="22"/>
    </w:rPr>
  </w:style>
  <w:style w:type="paragraph" w:styleId="9">
    <w:name w:val="heading 7"/>
    <w:basedOn w:val="1"/>
    <w:next w:val="1"/>
    <w:link w:val="199"/>
    <w:qFormat/>
    <w:uiPriority w:val="9"/>
    <w:pPr>
      <w:keepNext/>
      <w:keepLines/>
      <w:widowControl/>
      <w:spacing w:before="40" w:line="259" w:lineRule="auto"/>
      <w:jc w:val="left"/>
      <w:outlineLvl w:val="6"/>
    </w:pPr>
    <w:rPr>
      <w:rFonts w:ascii="等线 Light" w:hAnsi="等线 Light" w:eastAsia="等线 Light"/>
      <w:i/>
      <w:iCs/>
      <w:color w:val="1F3864"/>
      <w:kern w:val="0"/>
      <w:sz w:val="22"/>
      <w:szCs w:val="22"/>
    </w:rPr>
  </w:style>
  <w:style w:type="paragraph" w:styleId="10">
    <w:name w:val="heading 8"/>
    <w:basedOn w:val="1"/>
    <w:next w:val="1"/>
    <w:link w:val="200"/>
    <w:qFormat/>
    <w:uiPriority w:val="9"/>
    <w:pPr>
      <w:keepNext/>
      <w:keepLines/>
      <w:widowControl/>
      <w:spacing w:before="40" w:line="259" w:lineRule="auto"/>
      <w:jc w:val="left"/>
      <w:outlineLvl w:val="7"/>
    </w:pPr>
    <w:rPr>
      <w:rFonts w:ascii="等线 Light" w:hAnsi="等线 Light" w:eastAsia="等线 Light"/>
      <w:color w:val="252525"/>
      <w:kern w:val="0"/>
      <w:sz w:val="21"/>
      <w:szCs w:val="21"/>
    </w:rPr>
  </w:style>
  <w:style w:type="paragraph" w:styleId="11">
    <w:name w:val="heading 9"/>
    <w:basedOn w:val="1"/>
    <w:next w:val="1"/>
    <w:link w:val="201"/>
    <w:qFormat/>
    <w:uiPriority w:val="9"/>
    <w:pPr>
      <w:keepNext/>
      <w:keepLines/>
      <w:widowControl/>
      <w:spacing w:before="40" w:line="259" w:lineRule="auto"/>
      <w:jc w:val="left"/>
      <w:outlineLvl w:val="8"/>
    </w:pPr>
    <w:rPr>
      <w:rFonts w:ascii="等线 Light" w:hAnsi="等线 Light" w:eastAsia="等线 Light"/>
      <w:i/>
      <w:iCs/>
      <w:color w:val="252525"/>
      <w:kern w:val="0"/>
      <w:sz w:val="21"/>
      <w:szCs w:val="21"/>
    </w:rPr>
  </w:style>
  <w:style w:type="character" w:default="1" w:styleId="127">
    <w:name w:val="Default Paragraph Font"/>
    <w:semiHidden/>
    <w:qFormat/>
    <w:uiPriority w:val="0"/>
  </w:style>
  <w:style w:type="table" w:default="1" w:styleId="82">
    <w:name w:val="Normal Table"/>
    <w:semiHidden/>
    <w:qFormat/>
    <w:uiPriority w:val="0"/>
    <w:tblPr>
      <w:tblCellMar>
        <w:top w:w="0" w:type="dxa"/>
        <w:left w:w="108" w:type="dxa"/>
        <w:bottom w:w="0" w:type="dxa"/>
        <w:right w:w="108" w:type="dxa"/>
      </w:tblCellMar>
    </w:tblPr>
  </w:style>
  <w:style w:type="paragraph" w:styleId="2">
    <w:name w:val="macro"/>
    <w:link w:val="192"/>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afterLines="50" w:line="259" w:lineRule="auto"/>
    </w:pPr>
    <w:rPr>
      <w:rFonts w:ascii="Courier New" w:hAnsi="Courier New" w:eastAsia="等线" w:cs="Courier New"/>
      <w:sz w:val="24"/>
      <w:szCs w:val="24"/>
      <w:lang w:val="en-US" w:eastAsia="zh-CN" w:bidi="ar-SA"/>
    </w:rPr>
  </w:style>
  <w:style w:type="paragraph" w:styleId="12">
    <w:name w:val="List 3"/>
    <w:basedOn w:val="1"/>
    <w:qFormat/>
    <w:uiPriority w:val="0"/>
    <w:pPr>
      <w:widowControl/>
      <w:spacing w:after="160" w:line="259" w:lineRule="auto"/>
      <w:ind w:left="100" w:leftChars="400" w:hanging="200" w:hangingChars="200"/>
      <w:jc w:val="left"/>
    </w:pPr>
    <w:rPr>
      <w:rFonts w:ascii="等线" w:hAnsi="等线" w:eastAsia="等线"/>
      <w:kern w:val="0"/>
      <w:sz w:val="22"/>
      <w:szCs w:val="22"/>
    </w:rPr>
  </w:style>
  <w:style w:type="paragraph" w:styleId="13">
    <w:name w:val="List Number 2"/>
    <w:basedOn w:val="1"/>
    <w:qFormat/>
    <w:uiPriority w:val="0"/>
    <w:pPr>
      <w:widowControl/>
      <w:numPr>
        <w:ilvl w:val="0"/>
        <w:numId w:val="1"/>
      </w:numPr>
      <w:tabs>
        <w:tab w:val="left" w:pos="780"/>
      </w:tabs>
      <w:spacing w:after="160" w:line="259" w:lineRule="auto"/>
      <w:jc w:val="left"/>
    </w:pPr>
    <w:rPr>
      <w:rFonts w:ascii="等线" w:hAnsi="等线" w:eastAsia="等线"/>
      <w:kern w:val="0"/>
      <w:sz w:val="22"/>
      <w:szCs w:val="22"/>
    </w:rPr>
  </w:style>
  <w:style w:type="paragraph" w:styleId="14">
    <w:name w:val="table of authorities"/>
    <w:basedOn w:val="1"/>
    <w:next w:val="1"/>
    <w:qFormat/>
    <w:uiPriority w:val="0"/>
    <w:pPr>
      <w:widowControl/>
      <w:spacing w:after="160" w:line="259" w:lineRule="auto"/>
      <w:ind w:left="420" w:leftChars="200"/>
      <w:jc w:val="left"/>
    </w:pPr>
    <w:rPr>
      <w:rFonts w:ascii="等线" w:hAnsi="等线" w:eastAsia="等线"/>
      <w:kern w:val="0"/>
      <w:sz w:val="22"/>
      <w:szCs w:val="22"/>
    </w:rPr>
  </w:style>
  <w:style w:type="paragraph" w:styleId="15">
    <w:name w:val="Note Heading"/>
    <w:basedOn w:val="1"/>
    <w:next w:val="1"/>
    <w:link w:val="203"/>
    <w:qFormat/>
    <w:uiPriority w:val="0"/>
    <w:pPr>
      <w:widowControl/>
      <w:spacing w:after="160" w:line="259" w:lineRule="auto"/>
      <w:jc w:val="center"/>
    </w:pPr>
    <w:rPr>
      <w:rFonts w:ascii="等线" w:hAnsi="等线" w:eastAsia="等线"/>
      <w:kern w:val="0"/>
      <w:sz w:val="22"/>
      <w:szCs w:val="22"/>
    </w:rPr>
  </w:style>
  <w:style w:type="paragraph" w:styleId="16">
    <w:name w:val="List Bullet 4"/>
    <w:basedOn w:val="1"/>
    <w:qFormat/>
    <w:uiPriority w:val="0"/>
    <w:pPr>
      <w:widowControl/>
      <w:numPr>
        <w:ilvl w:val="0"/>
        <w:numId w:val="2"/>
      </w:numPr>
      <w:tabs>
        <w:tab w:val="left" w:pos="1620"/>
      </w:tabs>
      <w:spacing w:after="160" w:line="259" w:lineRule="auto"/>
      <w:jc w:val="left"/>
    </w:pPr>
    <w:rPr>
      <w:rFonts w:ascii="等线" w:hAnsi="等线" w:eastAsia="等线"/>
      <w:kern w:val="0"/>
      <w:sz w:val="22"/>
      <w:szCs w:val="22"/>
    </w:rPr>
  </w:style>
  <w:style w:type="paragraph" w:styleId="17">
    <w:name w:val="index 8"/>
    <w:basedOn w:val="1"/>
    <w:next w:val="1"/>
    <w:qFormat/>
    <w:uiPriority w:val="0"/>
    <w:pPr>
      <w:widowControl/>
      <w:spacing w:after="160" w:line="259" w:lineRule="auto"/>
      <w:ind w:left="1400" w:leftChars="1400"/>
      <w:jc w:val="left"/>
    </w:pPr>
    <w:rPr>
      <w:rFonts w:ascii="等线" w:hAnsi="等线" w:eastAsia="等线"/>
      <w:kern w:val="0"/>
      <w:sz w:val="22"/>
      <w:szCs w:val="22"/>
    </w:rPr>
  </w:style>
  <w:style w:type="paragraph" w:styleId="18">
    <w:name w:val="E-mail Signature"/>
    <w:basedOn w:val="1"/>
    <w:link w:val="204"/>
    <w:qFormat/>
    <w:uiPriority w:val="0"/>
    <w:pPr>
      <w:widowControl/>
      <w:spacing w:after="160" w:line="259" w:lineRule="auto"/>
      <w:jc w:val="left"/>
    </w:pPr>
    <w:rPr>
      <w:rFonts w:ascii="等线" w:hAnsi="等线" w:eastAsia="等线"/>
      <w:kern w:val="0"/>
      <w:sz w:val="22"/>
      <w:szCs w:val="22"/>
    </w:rPr>
  </w:style>
  <w:style w:type="paragraph" w:styleId="19">
    <w:name w:val="List Number"/>
    <w:basedOn w:val="1"/>
    <w:qFormat/>
    <w:uiPriority w:val="0"/>
    <w:pPr>
      <w:widowControl/>
      <w:numPr>
        <w:ilvl w:val="0"/>
        <w:numId w:val="3"/>
      </w:numPr>
      <w:tabs>
        <w:tab w:val="left" w:pos="360"/>
      </w:tabs>
      <w:spacing w:after="160" w:line="259" w:lineRule="auto"/>
      <w:jc w:val="left"/>
    </w:pPr>
    <w:rPr>
      <w:rFonts w:ascii="等线" w:hAnsi="等线" w:eastAsia="等线"/>
      <w:kern w:val="0"/>
      <w:sz w:val="22"/>
      <w:szCs w:val="22"/>
    </w:rPr>
  </w:style>
  <w:style w:type="paragraph" w:styleId="20">
    <w:name w:val="Normal Indent"/>
    <w:basedOn w:val="1"/>
    <w:qFormat/>
    <w:uiPriority w:val="0"/>
    <w:pPr>
      <w:ind w:firstLine="420"/>
    </w:pPr>
    <w:rPr>
      <w:rFonts w:ascii="Calibri" w:hAnsi="Calibri" w:eastAsia="宋体"/>
      <w:kern w:val="0"/>
      <w:sz w:val="20"/>
      <w:szCs w:val="24"/>
    </w:rPr>
  </w:style>
  <w:style w:type="paragraph" w:styleId="21">
    <w:name w:val="caption"/>
    <w:basedOn w:val="1"/>
    <w:next w:val="1"/>
    <w:qFormat/>
    <w:uiPriority w:val="35"/>
    <w:pPr>
      <w:widowControl/>
      <w:spacing w:after="200"/>
      <w:jc w:val="left"/>
    </w:pPr>
    <w:rPr>
      <w:rFonts w:ascii="等线" w:hAnsi="等线" w:eastAsia="等线"/>
      <w:i/>
      <w:iCs/>
      <w:color w:val="44546A"/>
      <w:kern w:val="0"/>
      <w:sz w:val="18"/>
      <w:szCs w:val="18"/>
    </w:rPr>
  </w:style>
  <w:style w:type="paragraph" w:styleId="22">
    <w:name w:val="index 5"/>
    <w:basedOn w:val="1"/>
    <w:next w:val="1"/>
    <w:qFormat/>
    <w:uiPriority w:val="0"/>
    <w:pPr>
      <w:widowControl/>
      <w:spacing w:after="160" w:line="259" w:lineRule="auto"/>
      <w:ind w:left="800" w:leftChars="800"/>
      <w:jc w:val="left"/>
    </w:pPr>
    <w:rPr>
      <w:rFonts w:ascii="等线" w:hAnsi="等线" w:eastAsia="等线"/>
      <w:kern w:val="0"/>
      <w:sz w:val="22"/>
      <w:szCs w:val="22"/>
    </w:rPr>
  </w:style>
  <w:style w:type="paragraph" w:styleId="23">
    <w:name w:val="List Bullet"/>
    <w:basedOn w:val="1"/>
    <w:qFormat/>
    <w:uiPriority w:val="0"/>
    <w:pPr>
      <w:widowControl/>
      <w:numPr>
        <w:ilvl w:val="0"/>
        <w:numId w:val="4"/>
      </w:numPr>
      <w:tabs>
        <w:tab w:val="left" w:pos="360"/>
      </w:tabs>
      <w:spacing w:after="160" w:line="259" w:lineRule="auto"/>
      <w:jc w:val="left"/>
    </w:pPr>
    <w:rPr>
      <w:rFonts w:ascii="等线" w:hAnsi="等线" w:eastAsia="等线"/>
      <w:kern w:val="0"/>
      <w:sz w:val="22"/>
      <w:szCs w:val="22"/>
    </w:rPr>
  </w:style>
  <w:style w:type="paragraph" w:styleId="24">
    <w:name w:val="envelope address"/>
    <w:basedOn w:val="1"/>
    <w:qFormat/>
    <w:uiPriority w:val="0"/>
    <w:pPr>
      <w:framePr w:w="7920" w:h="1980" w:hRule="exact" w:hSpace="180" w:wrap="around" w:vAnchor="margin" w:hAnchor="page" w:xAlign="center" w:yAlign="bottom"/>
      <w:widowControl/>
      <w:snapToGrid w:val="0"/>
      <w:spacing w:after="160" w:line="259" w:lineRule="auto"/>
      <w:ind w:left="100" w:leftChars="1400"/>
      <w:jc w:val="left"/>
    </w:pPr>
    <w:rPr>
      <w:rFonts w:ascii="等线" w:hAnsi="等线" w:eastAsia="等线" w:cs="Arial"/>
      <w:kern w:val="0"/>
      <w:sz w:val="24"/>
      <w:szCs w:val="24"/>
    </w:rPr>
  </w:style>
  <w:style w:type="paragraph" w:styleId="25">
    <w:name w:val="Document Map"/>
    <w:basedOn w:val="1"/>
    <w:link w:val="205"/>
    <w:qFormat/>
    <w:uiPriority w:val="0"/>
    <w:pPr>
      <w:widowControl/>
      <w:shd w:val="clear" w:color="auto" w:fill="000080"/>
      <w:spacing w:after="160" w:line="259" w:lineRule="auto"/>
      <w:jc w:val="left"/>
    </w:pPr>
    <w:rPr>
      <w:rFonts w:ascii="等线" w:hAnsi="等线" w:eastAsia="等线"/>
      <w:kern w:val="0"/>
      <w:sz w:val="22"/>
      <w:szCs w:val="22"/>
    </w:rPr>
  </w:style>
  <w:style w:type="paragraph" w:styleId="26">
    <w:name w:val="toa heading"/>
    <w:basedOn w:val="1"/>
    <w:next w:val="1"/>
    <w:qFormat/>
    <w:uiPriority w:val="0"/>
    <w:pPr>
      <w:widowControl/>
      <w:spacing w:before="120" w:after="160" w:line="259" w:lineRule="auto"/>
      <w:jc w:val="left"/>
    </w:pPr>
    <w:rPr>
      <w:rFonts w:ascii="等线" w:hAnsi="等线" w:eastAsia="等线" w:cs="Arial"/>
      <w:kern w:val="0"/>
      <w:sz w:val="24"/>
      <w:szCs w:val="24"/>
    </w:rPr>
  </w:style>
  <w:style w:type="paragraph" w:styleId="27">
    <w:name w:val="annotation text"/>
    <w:basedOn w:val="1"/>
    <w:link w:val="206"/>
    <w:qFormat/>
    <w:uiPriority w:val="99"/>
    <w:pPr>
      <w:widowControl/>
      <w:spacing w:after="160" w:line="259" w:lineRule="auto"/>
      <w:jc w:val="left"/>
    </w:pPr>
    <w:rPr>
      <w:rFonts w:ascii="等线" w:hAnsi="等线" w:eastAsia="等线"/>
      <w:kern w:val="0"/>
      <w:sz w:val="22"/>
      <w:szCs w:val="22"/>
    </w:rPr>
  </w:style>
  <w:style w:type="paragraph" w:styleId="28">
    <w:name w:val="index 6"/>
    <w:basedOn w:val="1"/>
    <w:next w:val="1"/>
    <w:qFormat/>
    <w:uiPriority w:val="0"/>
    <w:pPr>
      <w:widowControl/>
      <w:spacing w:after="160" w:line="259" w:lineRule="auto"/>
      <w:ind w:left="1000" w:leftChars="1000"/>
      <w:jc w:val="left"/>
    </w:pPr>
    <w:rPr>
      <w:rFonts w:ascii="等线" w:hAnsi="等线" w:eastAsia="等线"/>
      <w:kern w:val="0"/>
      <w:sz w:val="22"/>
      <w:szCs w:val="22"/>
    </w:rPr>
  </w:style>
  <w:style w:type="paragraph" w:styleId="29">
    <w:name w:val="Salutation"/>
    <w:basedOn w:val="1"/>
    <w:next w:val="1"/>
    <w:link w:val="207"/>
    <w:qFormat/>
    <w:uiPriority w:val="0"/>
    <w:pPr>
      <w:widowControl/>
      <w:spacing w:after="160" w:line="259" w:lineRule="auto"/>
      <w:jc w:val="left"/>
    </w:pPr>
    <w:rPr>
      <w:rFonts w:ascii="等线" w:hAnsi="等线" w:eastAsia="等线"/>
      <w:kern w:val="0"/>
      <w:sz w:val="22"/>
      <w:szCs w:val="22"/>
    </w:rPr>
  </w:style>
  <w:style w:type="paragraph" w:styleId="30">
    <w:name w:val="Body Text 3"/>
    <w:basedOn w:val="1"/>
    <w:link w:val="208"/>
    <w:qFormat/>
    <w:uiPriority w:val="0"/>
    <w:pPr>
      <w:widowControl/>
      <w:spacing w:after="120" w:line="259" w:lineRule="auto"/>
      <w:jc w:val="left"/>
    </w:pPr>
    <w:rPr>
      <w:rFonts w:ascii="等线" w:hAnsi="等线" w:eastAsia="等线"/>
      <w:kern w:val="0"/>
      <w:sz w:val="16"/>
      <w:szCs w:val="16"/>
    </w:rPr>
  </w:style>
  <w:style w:type="paragraph" w:styleId="31">
    <w:name w:val="Closing"/>
    <w:basedOn w:val="1"/>
    <w:link w:val="209"/>
    <w:qFormat/>
    <w:uiPriority w:val="0"/>
    <w:pPr>
      <w:widowControl/>
      <w:spacing w:after="160" w:line="259" w:lineRule="auto"/>
      <w:ind w:left="100" w:leftChars="2100"/>
      <w:jc w:val="left"/>
    </w:pPr>
    <w:rPr>
      <w:rFonts w:ascii="等线" w:hAnsi="等线" w:eastAsia="等线"/>
      <w:kern w:val="0"/>
      <w:sz w:val="22"/>
      <w:szCs w:val="22"/>
    </w:rPr>
  </w:style>
  <w:style w:type="paragraph" w:styleId="32">
    <w:name w:val="List Bullet 3"/>
    <w:basedOn w:val="1"/>
    <w:qFormat/>
    <w:uiPriority w:val="0"/>
    <w:pPr>
      <w:widowControl/>
      <w:numPr>
        <w:ilvl w:val="0"/>
        <w:numId w:val="5"/>
      </w:numPr>
      <w:tabs>
        <w:tab w:val="left" w:pos="1200"/>
      </w:tabs>
      <w:spacing w:after="160" w:line="259" w:lineRule="auto"/>
      <w:jc w:val="left"/>
    </w:pPr>
    <w:rPr>
      <w:rFonts w:ascii="等线" w:hAnsi="等线" w:eastAsia="等线"/>
      <w:kern w:val="0"/>
      <w:sz w:val="22"/>
      <w:szCs w:val="22"/>
    </w:rPr>
  </w:style>
  <w:style w:type="paragraph" w:styleId="33">
    <w:name w:val="Body Text"/>
    <w:basedOn w:val="1"/>
    <w:link w:val="147"/>
    <w:qFormat/>
    <w:uiPriority w:val="0"/>
    <w:pPr>
      <w:spacing w:line="0" w:lineRule="atLeast"/>
    </w:pPr>
    <w:rPr>
      <w:rFonts w:eastAsia="小标宋"/>
      <w:sz w:val="44"/>
    </w:rPr>
  </w:style>
  <w:style w:type="paragraph" w:styleId="34">
    <w:name w:val="Body Text Indent"/>
    <w:basedOn w:val="1"/>
    <w:link w:val="148"/>
    <w:qFormat/>
    <w:uiPriority w:val="0"/>
    <w:pPr>
      <w:spacing w:after="120"/>
      <w:ind w:left="420" w:leftChars="200"/>
    </w:pPr>
  </w:style>
  <w:style w:type="paragraph" w:styleId="35">
    <w:name w:val="List Number 3"/>
    <w:basedOn w:val="1"/>
    <w:qFormat/>
    <w:uiPriority w:val="0"/>
    <w:pPr>
      <w:widowControl/>
      <w:numPr>
        <w:ilvl w:val="0"/>
        <w:numId w:val="6"/>
      </w:numPr>
      <w:tabs>
        <w:tab w:val="left" w:pos="1200"/>
      </w:tabs>
      <w:spacing w:after="160" w:line="259" w:lineRule="auto"/>
      <w:jc w:val="left"/>
    </w:pPr>
    <w:rPr>
      <w:rFonts w:ascii="等线" w:hAnsi="等线" w:eastAsia="等线"/>
      <w:kern w:val="0"/>
      <w:sz w:val="22"/>
      <w:szCs w:val="22"/>
    </w:rPr>
  </w:style>
  <w:style w:type="paragraph" w:styleId="36">
    <w:name w:val="List 2"/>
    <w:basedOn w:val="1"/>
    <w:qFormat/>
    <w:uiPriority w:val="0"/>
    <w:pPr>
      <w:widowControl/>
      <w:spacing w:after="160" w:line="259" w:lineRule="auto"/>
      <w:ind w:left="100" w:leftChars="200" w:hanging="200" w:hangingChars="200"/>
      <w:jc w:val="left"/>
    </w:pPr>
    <w:rPr>
      <w:rFonts w:ascii="等线" w:hAnsi="等线" w:eastAsia="等线"/>
      <w:kern w:val="0"/>
      <w:sz w:val="22"/>
      <w:szCs w:val="22"/>
    </w:rPr>
  </w:style>
  <w:style w:type="paragraph" w:styleId="37">
    <w:name w:val="List Continue"/>
    <w:basedOn w:val="1"/>
    <w:qFormat/>
    <w:uiPriority w:val="0"/>
    <w:pPr>
      <w:widowControl/>
      <w:spacing w:after="120" w:line="259" w:lineRule="auto"/>
      <w:ind w:left="420" w:leftChars="200"/>
      <w:jc w:val="left"/>
    </w:pPr>
    <w:rPr>
      <w:rFonts w:ascii="等线" w:hAnsi="等线" w:eastAsia="等线"/>
      <w:kern w:val="0"/>
      <w:sz w:val="22"/>
      <w:szCs w:val="22"/>
    </w:rPr>
  </w:style>
  <w:style w:type="paragraph" w:styleId="38">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39">
    <w:name w:val="List Bullet 2"/>
    <w:basedOn w:val="1"/>
    <w:qFormat/>
    <w:uiPriority w:val="0"/>
    <w:pPr>
      <w:widowControl/>
      <w:numPr>
        <w:ilvl w:val="0"/>
        <w:numId w:val="7"/>
      </w:numPr>
      <w:tabs>
        <w:tab w:val="left" w:pos="780"/>
      </w:tabs>
      <w:spacing w:after="160" w:line="259" w:lineRule="auto"/>
      <w:jc w:val="left"/>
    </w:pPr>
    <w:rPr>
      <w:rFonts w:ascii="等线" w:hAnsi="等线" w:eastAsia="等线"/>
      <w:kern w:val="0"/>
      <w:sz w:val="22"/>
      <w:szCs w:val="22"/>
    </w:rPr>
  </w:style>
  <w:style w:type="paragraph" w:styleId="40">
    <w:name w:val="HTML Address"/>
    <w:basedOn w:val="1"/>
    <w:link w:val="211"/>
    <w:qFormat/>
    <w:uiPriority w:val="0"/>
    <w:pPr>
      <w:widowControl/>
      <w:spacing w:after="160" w:line="259" w:lineRule="auto"/>
      <w:jc w:val="left"/>
    </w:pPr>
    <w:rPr>
      <w:rFonts w:ascii="等线" w:hAnsi="等线" w:eastAsia="等线"/>
      <w:i/>
      <w:iCs/>
      <w:kern w:val="0"/>
      <w:sz w:val="22"/>
      <w:szCs w:val="22"/>
    </w:rPr>
  </w:style>
  <w:style w:type="paragraph" w:styleId="41">
    <w:name w:val="index 4"/>
    <w:basedOn w:val="1"/>
    <w:next w:val="1"/>
    <w:qFormat/>
    <w:uiPriority w:val="0"/>
    <w:pPr>
      <w:widowControl/>
      <w:spacing w:after="160" w:line="259" w:lineRule="auto"/>
      <w:ind w:left="600" w:leftChars="600"/>
      <w:jc w:val="left"/>
    </w:pPr>
    <w:rPr>
      <w:rFonts w:ascii="等线" w:hAnsi="等线" w:eastAsia="等线"/>
      <w:kern w:val="0"/>
      <w:sz w:val="22"/>
      <w:szCs w:val="22"/>
    </w:rPr>
  </w:style>
  <w:style w:type="paragraph" w:styleId="42">
    <w:name w:val="toc 3"/>
    <w:basedOn w:val="1"/>
    <w:next w:val="1"/>
    <w:qFormat/>
    <w:uiPriority w:val="0"/>
    <w:pPr>
      <w:ind w:left="840" w:leftChars="400"/>
    </w:pPr>
  </w:style>
  <w:style w:type="paragraph" w:styleId="43">
    <w:name w:val="Plain Text"/>
    <w:basedOn w:val="1"/>
    <w:link w:val="149"/>
    <w:qFormat/>
    <w:uiPriority w:val="0"/>
    <w:rPr>
      <w:rFonts w:ascii="宋体" w:hAnsi="Courier New" w:eastAsia="宋体" w:cs="宋体"/>
      <w:sz w:val="24"/>
      <w:szCs w:val="24"/>
    </w:rPr>
  </w:style>
  <w:style w:type="paragraph" w:styleId="44">
    <w:name w:val="List Bullet 5"/>
    <w:basedOn w:val="1"/>
    <w:qFormat/>
    <w:uiPriority w:val="0"/>
    <w:pPr>
      <w:widowControl/>
      <w:numPr>
        <w:ilvl w:val="0"/>
        <w:numId w:val="8"/>
      </w:numPr>
      <w:tabs>
        <w:tab w:val="left" w:pos="2040"/>
      </w:tabs>
      <w:spacing w:after="160" w:line="259" w:lineRule="auto"/>
      <w:jc w:val="left"/>
    </w:pPr>
    <w:rPr>
      <w:rFonts w:ascii="等线" w:hAnsi="等线" w:eastAsia="等线"/>
      <w:kern w:val="0"/>
      <w:sz w:val="22"/>
      <w:szCs w:val="22"/>
    </w:rPr>
  </w:style>
  <w:style w:type="paragraph" w:styleId="45">
    <w:name w:val="List Number 4"/>
    <w:basedOn w:val="1"/>
    <w:qFormat/>
    <w:uiPriority w:val="0"/>
    <w:pPr>
      <w:widowControl/>
      <w:numPr>
        <w:ilvl w:val="0"/>
        <w:numId w:val="9"/>
      </w:numPr>
      <w:tabs>
        <w:tab w:val="left" w:pos="1620"/>
      </w:tabs>
      <w:spacing w:after="160" w:line="259" w:lineRule="auto"/>
      <w:jc w:val="left"/>
    </w:pPr>
    <w:rPr>
      <w:rFonts w:ascii="等线" w:hAnsi="等线" w:eastAsia="等线"/>
      <w:kern w:val="0"/>
      <w:sz w:val="22"/>
      <w:szCs w:val="22"/>
    </w:rPr>
  </w:style>
  <w:style w:type="paragraph" w:styleId="46">
    <w:name w:val="index 3"/>
    <w:basedOn w:val="1"/>
    <w:next w:val="1"/>
    <w:qFormat/>
    <w:uiPriority w:val="0"/>
    <w:pPr>
      <w:widowControl/>
      <w:spacing w:after="160" w:line="259" w:lineRule="auto"/>
      <w:ind w:left="400" w:leftChars="400"/>
      <w:jc w:val="left"/>
    </w:pPr>
    <w:rPr>
      <w:rFonts w:ascii="等线" w:hAnsi="等线" w:eastAsia="等线"/>
      <w:kern w:val="0"/>
      <w:sz w:val="22"/>
      <w:szCs w:val="22"/>
    </w:rPr>
  </w:style>
  <w:style w:type="paragraph" w:styleId="47">
    <w:name w:val="Date"/>
    <w:basedOn w:val="1"/>
    <w:next w:val="1"/>
    <w:link w:val="150"/>
    <w:qFormat/>
    <w:uiPriority w:val="0"/>
    <w:pPr>
      <w:ind w:left="100" w:leftChars="2500"/>
    </w:pPr>
  </w:style>
  <w:style w:type="paragraph" w:styleId="48">
    <w:name w:val="Body Text Indent 2"/>
    <w:basedOn w:val="1"/>
    <w:link w:val="151"/>
    <w:qFormat/>
    <w:uiPriority w:val="0"/>
    <w:pPr>
      <w:adjustRightInd w:val="0"/>
      <w:snapToGrid w:val="0"/>
      <w:spacing w:line="360" w:lineRule="auto"/>
      <w:ind w:firstLine="570"/>
    </w:pPr>
    <w:rPr>
      <w:rFonts w:ascii="仿宋_GB2312" w:cs="仿宋_GB2312"/>
      <w:sz w:val="30"/>
      <w:szCs w:val="30"/>
    </w:rPr>
  </w:style>
  <w:style w:type="paragraph" w:styleId="49">
    <w:name w:val="endnote text"/>
    <w:basedOn w:val="1"/>
    <w:link w:val="212"/>
    <w:qFormat/>
    <w:uiPriority w:val="0"/>
    <w:pPr>
      <w:widowControl/>
      <w:snapToGrid w:val="0"/>
      <w:spacing w:after="160" w:line="259" w:lineRule="auto"/>
      <w:jc w:val="left"/>
    </w:pPr>
    <w:rPr>
      <w:rFonts w:ascii="等线" w:hAnsi="等线" w:eastAsia="等线"/>
      <w:kern w:val="0"/>
      <w:sz w:val="22"/>
      <w:szCs w:val="22"/>
    </w:rPr>
  </w:style>
  <w:style w:type="paragraph" w:styleId="50">
    <w:name w:val="List Continue 5"/>
    <w:basedOn w:val="1"/>
    <w:qFormat/>
    <w:uiPriority w:val="0"/>
    <w:pPr>
      <w:widowControl/>
      <w:spacing w:after="120" w:line="259" w:lineRule="auto"/>
      <w:ind w:left="2100" w:leftChars="1000"/>
      <w:jc w:val="left"/>
    </w:pPr>
    <w:rPr>
      <w:rFonts w:ascii="等线" w:hAnsi="等线" w:eastAsia="等线"/>
      <w:kern w:val="0"/>
      <w:sz w:val="22"/>
      <w:szCs w:val="22"/>
    </w:rPr>
  </w:style>
  <w:style w:type="paragraph" w:styleId="51">
    <w:name w:val="Balloon Text"/>
    <w:basedOn w:val="1"/>
    <w:link w:val="152"/>
    <w:qFormat/>
    <w:uiPriority w:val="0"/>
    <w:rPr>
      <w:sz w:val="18"/>
      <w:szCs w:val="18"/>
    </w:rPr>
  </w:style>
  <w:style w:type="paragraph" w:styleId="52">
    <w:name w:val="footer"/>
    <w:basedOn w:val="1"/>
    <w:link w:val="153"/>
    <w:qFormat/>
    <w:uiPriority w:val="0"/>
    <w:pPr>
      <w:tabs>
        <w:tab w:val="center" w:pos="4153"/>
        <w:tab w:val="right" w:pos="8306"/>
      </w:tabs>
      <w:snapToGrid w:val="0"/>
      <w:jc w:val="left"/>
    </w:pPr>
    <w:rPr>
      <w:sz w:val="18"/>
    </w:rPr>
  </w:style>
  <w:style w:type="paragraph" w:styleId="53">
    <w:name w:val="envelope return"/>
    <w:basedOn w:val="1"/>
    <w:qFormat/>
    <w:uiPriority w:val="0"/>
    <w:pPr>
      <w:widowControl/>
      <w:snapToGrid w:val="0"/>
      <w:spacing w:after="160" w:line="259" w:lineRule="auto"/>
      <w:jc w:val="left"/>
    </w:pPr>
    <w:rPr>
      <w:rFonts w:ascii="等线" w:hAnsi="等线" w:eastAsia="等线" w:cs="Arial"/>
      <w:kern w:val="0"/>
      <w:sz w:val="22"/>
      <w:szCs w:val="22"/>
    </w:rPr>
  </w:style>
  <w:style w:type="paragraph" w:styleId="54">
    <w:name w:val="header"/>
    <w:basedOn w:val="1"/>
    <w:link w:val="154"/>
    <w:qFormat/>
    <w:uiPriority w:val="99"/>
    <w:pPr>
      <w:pBdr>
        <w:bottom w:val="single" w:color="auto" w:sz="6" w:space="1"/>
      </w:pBdr>
      <w:tabs>
        <w:tab w:val="center" w:pos="4153"/>
        <w:tab w:val="right" w:pos="8306"/>
      </w:tabs>
      <w:snapToGrid w:val="0"/>
      <w:jc w:val="center"/>
    </w:pPr>
    <w:rPr>
      <w:sz w:val="18"/>
    </w:rPr>
  </w:style>
  <w:style w:type="paragraph" w:styleId="55">
    <w:name w:val="Signature"/>
    <w:basedOn w:val="1"/>
    <w:link w:val="215"/>
    <w:qFormat/>
    <w:uiPriority w:val="0"/>
    <w:pPr>
      <w:widowControl/>
      <w:spacing w:after="160" w:line="259" w:lineRule="auto"/>
      <w:ind w:left="100" w:leftChars="2100"/>
      <w:jc w:val="left"/>
    </w:pPr>
    <w:rPr>
      <w:rFonts w:ascii="等线" w:hAnsi="等线" w:eastAsia="等线"/>
      <w:kern w:val="0"/>
      <w:sz w:val="22"/>
      <w:szCs w:val="22"/>
    </w:rPr>
  </w:style>
  <w:style w:type="paragraph" w:styleId="56">
    <w:name w:val="toc 1"/>
    <w:basedOn w:val="1"/>
    <w:next w:val="1"/>
    <w:qFormat/>
    <w:uiPriority w:val="39"/>
  </w:style>
  <w:style w:type="paragraph" w:styleId="57">
    <w:name w:val="List Continue 4"/>
    <w:basedOn w:val="1"/>
    <w:qFormat/>
    <w:uiPriority w:val="0"/>
    <w:pPr>
      <w:widowControl/>
      <w:spacing w:after="120" w:line="259" w:lineRule="auto"/>
      <w:ind w:left="1680" w:leftChars="800"/>
      <w:jc w:val="left"/>
    </w:pPr>
    <w:rPr>
      <w:rFonts w:ascii="等线" w:hAnsi="等线" w:eastAsia="等线"/>
      <w:kern w:val="0"/>
      <w:sz w:val="22"/>
      <w:szCs w:val="22"/>
    </w:rPr>
  </w:style>
  <w:style w:type="paragraph" w:styleId="58">
    <w:name w:val="index heading"/>
    <w:basedOn w:val="1"/>
    <w:next w:val="59"/>
    <w:qFormat/>
    <w:uiPriority w:val="0"/>
    <w:pPr>
      <w:widowControl/>
      <w:spacing w:after="160" w:line="259" w:lineRule="auto"/>
      <w:jc w:val="left"/>
    </w:pPr>
    <w:rPr>
      <w:rFonts w:ascii="等线" w:hAnsi="等线" w:eastAsia="等线" w:cs="Arial"/>
      <w:b/>
      <w:bCs/>
      <w:kern w:val="0"/>
      <w:sz w:val="22"/>
      <w:szCs w:val="22"/>
    </w:rPr>
  </w:style>
  <w:style w:type="paragraph" w:styleId="59">
    <w:name w:val="index 1"/>
    <w:basedOn w:val="1"/>
    <w:next w:val="1"/>
    <w:qFormat/>
    <w:uiPriority w:val="0"/>
  </w:style>
  <w:style w:type="paragraph" w:styleId="60">
    <w:name w:val="Subtitle"/>
    <w:basedOn w:val="1"/>
    <w:next w:val="1"/>
    <w:link w:val="217"/>
    <w:qFormat/>
    <w:uiPriority w:val="11"/>
    <w:pPr>
      <w:widowControl/>
      <w:spacing w:after="160" w:line="259" w:lineRule="auto"/>
      <w:jc w:val="left"/>
    </w:pPr>
    <w:rPr>
      <w:rFonts w:ascii="等线" w:hAnsi="等线" w:eastAsia="等线"/>
      <w:color w:val="595959"/>
      <w:spacing w:val="15"/>
      <w:kern w:val="0"/>
      <w:sz w:val="22"/>
      <w:szCs w:val="22"/>
    </w:rPr>
  </w:style>
  <w:style w:type="paragraph" w:styleId="61">
    <w:name w:val="List Number 5"/>
    <w:basedOn w:val="1"/>
    <w:qFormat/>
    <w:uiPriority w:val="0"/>
    <w:pPr>
      <w:widowControl/>
      <w:numPr>
        <w:ilvl w:val="0"/>
        <w:numId w:val="10"/>
      </w:numPr>
      <w:tabs>
        <w:tab w:val="left" w:pos="2324"/>
      </w:tabs>
      <w:spacing w:after="160" w:line="259" w:lineRule="auto"/>
      <w:jc w:val="left"/>
    </w:pPr>
    <w:rPr>
      <w:rFonts w:ascii="等线" w:hAnsi="等线" w:eastAsia="等线"/>
      <w:kern w:val="0"/>
      <w:sz w:val="22"/>
      <w:szCs w:val="22"/>
    </w:rPr>
  </w:style>
  <w:style w:type="paragraph" w:styleId="62">
    <w:name w:val="List"/>
    <w:basedOn w:val="1"/>
    <w:qFormat/>
    <w:uiPriority w:val="0"/>
    <w:pPr>
      <w:widowControl/>
      <w:spacing w:after="160" w:line="259" w:lineRule="auto"/>
      <w:ind w:left="200" w:hanging="200" w:hangingChars="200"/>
      <w:jc w:val="left"/>
    </w:pPr>
    <w:rPr>
      <w:rFonts w:ascii="等线" w:hAnsi="等线" w:eastAsia="等线"/>
      <w:kern w:val="0"/>
      <w:sz w:val="22"/>
      <w:szCs w:val="22"/>
    </w:rPr>
  </w:style>
  <w:style w:type="paragraph" w:styleId="63">
    <w:name w:val="footnote text"/>
    <w:basedOn w:val="1"/>
    <w:link w:val="155"/>
    <w:qFormat/>
    <w:uiPriority w:val="0"/>
    <w:pPr>
      <w:snapToGrid w:val="0"/>
      <w:jc w:val="left"/>
    </w:pPr>
    <w:rPr>
      <w:rFonts w:ascii="Calibri" w:hAnsi="Calibri" w:eastAsia="宋体"/>
      <w:sz w:val="21"/>
      <w:szCs w:val="24"/>
    </w:rPr>
  </w:style>
  <w:style w:type="paragraph" w:styleId="64">
    <w:name w:val="List 5"/>
    <w:basedOn w:val="1"/>
    <w:qFormat/>
    <w:uiPriority w:val="0"/>
    <w:pPr>
      <w:widowControl/>
      <w:spacing w:after="160" w:line="259" w:lineRule="auto"/>
      <w:ind w:left="100" w:leftChars="800" w:hanging="200" w:hangingChars="200"/>
      <w:jc w:val="left"/>
    </w:pPr>
    <w:rPr>
      <w:rFonts w:ascii="等线" w:hAnsi="等线" w:eastAsia="等线"/>
      <w:kern w:val="0"/>
      <w:sz w:val="22"/>
      <w:szCs w:val="22"/>
    </w:rPr>
  </w:style>
  <w:style w:type="paragraph" w:styleId="65">
    <w:name w:val="Body Text Indent 3"/>
    <w:basedOn w:val="1"/>
    <w:link w:val="156"/>
    <w:qFormat/>
    <w:uiPriority w:val="0"/>
    <w:pPr>
      <w:adjustRightInd w:val="0"/>
      <w:snapToGrid w:val="0"/>
      <w:spacing w:line="360" w:lineRule="auto"/>
      <w:ind w:firstLine="600"/>
    </w:pPr>
    <w:rPr>
      <w:rFonts w:ascii="仿宋_GB2312" w:cs="仿宋_GB2312"/>
      <w:sz w:val="30"/>
      <w:szCs w:val="30"/>
    </w:rPr>
  </w:style>
  <w:style w:type="paragraph" w:styleId="66">
    <w:name w:val="index 7"/>
    <w:basedOn w:val="1"/>
    <w:next w:val="1"/>
    <w:qFormat/>
    <w:uiPriority w:val="0"/>
    <w:pPr>
      <w:widowControl/>
      <w:spacing w:after="160" w:line="259" w:lineRule="auto"/>
      <w:ind w:left="1200" w:leftChars="1200"/>
      <w:jc w:val="left"/>
    </w:pPr>
    <w:rPr>
      <w:rFonts w:ascii="等线" w:hAnsi="等线" w:eastAsia="等线"/>
      <w:kern w:val="0"/>
      <w:sz w:val="22"/>
      <w:szCs w:val="22"/>
    </w:rPr>
  </w:style>
  <w:style w:type="paragraph" w:styleId="67">
    <w:name w:val="index 9"/>
    <w:basedOn w:val="1"/>
    <w:next w:val="1"/>
    <w:qFormat/>
    <w:uiPriority w:val="0"/>
    <w:pPr>
      <w:widowControl/>
      <w:spacing w:after="160" w:line="259" w:lineRule="auto"/>
      <w:ind w:left="1600" w:leftChars="1600"/>
      <w:jc w:val="left"/>
    </w:pPr>
    <w:rPr>
      <w:rFonts w:ascii="等线" w:hAnsi="等线" w:eastAsia="等线"/>
      <w:kern w:val="0"/>
      <w:sz w:val="22"/>
      <w:szCs w:val="22"/>
    </w:rPr>
  </w:style>
  <w:style w:type="paragraph" w:styleId="68">
    <w:name w:val="table of figures"/>
    <w:basedOn w:val="1"/>
    <w:next w:val="1"/>
    <w:qFormat/>
    <w:uiPriority w:val="0"/>
    <w:pPr>
      <w:widowControl/>
      <w:spacing w:after="160" w:line="259" w:lineRule="auto"/>
      <w:ind w:left="200" w:leftChars="200" w:hanging="200" w:hangingChars="200"/>
      <w:jc w:val="left"/>
    </w:pPr>
    <w:rPr>
      <w:rFonts w:ascii="等线" w:hAnsi="等线" w:eastAsia="等线"/>
      <w:kern w:val="0"/>
      <w:sz w:val="22"/>
      <w:szCs w:val="22"/>
    </w:rPr>
  </w:style>
  <w:style w:type="paragraph" w:styleId="69">
    <w:name w:val="toc 2"/>
    <w:basedOn w:val="1"/>
    <w:next w:val="1"/>
    <w:qFormat/>
    <w:uiPriority w:val="39"/>
    <w:pPr>
      <w:ind w:left="420" w:leftChars="200"/>
    </w:pPr>
  </w:style>
  <w:style w:type="paragraph" w:styleId="70">
    <w:name w:val="Body Text 2"/>
    <w:basedOn w:val="1"/>
    <w:link w:val="218"/>
    <w:qFormat/>
    <w:uiPriority w:val="0"/>
    <w:pPr>
      <w:widowControl/>
      <w:spacing w:after="120" w:line="480" w:lineRule="auto"/>
      <w:jc w:val="left"/>
    </w:pPr>
    <w:rPr>
      <w:rFonts w:ascii="等线" w:hAnsi="等线" w:eastAsia="等线"/>
      <w:kern w:val="0"/>
      <w:sz w:val="22"/>
      <w:szCs w:val="22"/>
    </w:rPr>
  </w:style>
  <w:style w:type="paragraph" w:styleId="71">
    <w:name w:val="List 4"/>
    <w:basedOn w:val="1"/>
    <w:qFormat/>
    <w:uiPriority w:val="0"/>
    <w:pPr>
      <w:widowControl/>
      <w:spacing w:after="160" w:line="259" w:lineRule="auto"/>
      <w:ind w:left="100" w:leftChars="600" w:hanging="200" w:hangingChars="200"/>
      <w:jc w:val="left"/>
    </w:pPr>
    <w:rPr>
      <w:rFonts w:ascii="等线" w:hAnsi="等线" w:eastAsia="等线"/>
      <w:kern w:val="0"/>
      <w:sz w:val="22"/>
      <w:szCs w:val="22"/>
    </w:rPr>
  </w:style>
  <w:style w:type="paragraph" w:styleId="72">
    <w:name w:val="List Continue 2"/>
    <w:basedOn w:val="1"/>
    <w:qFormat/>
    <w:uiPriority w:val="0"/>
    <w:pPr>
      <w:widowControl/>
      <w:spacing w:after="120" w:line="259" w:lineRule="auto"/>
      <w:ind w:left="840" w:leftChars="400"/>
      <w:jc w:val="left"/>
    </w:pPr>
    <w:rPr>
      <w:rFonts w:ascii="等线" w:hAnsi="等线" w:eastAsia="等线"/>
      <w:kern w:val="0"/>
      <w:sz w:val="22"/>
      <w:szCs w:val="22"/>
    </w:rPr>
  </w:style>
  <w:style w:type="paragraph" w:styleId="73">
    <w:name w:val="Message Header"/>
    <w:basedOn w:val="1"/>
    <w:link w:val="219"/>
    <w:qFormat/>
    <w:uiPriority w:val="0"/>
    <w:pPr>
      <w:widowControl/>
      <w:pBdr>
        <w:top w:val="single" w:color="auto" w:sz="6" w:space="1"/>
        <w:left w:val="single" w:color="auto" w:sz="6" w:space="1"/>
        <w:bottom w:val="single" w:color="auto" w:sz="6" w:space="1"/>
        <w:right w:val="single" w:color="auto" w:sz="6" w:space="1"/>
      </w:pBdr>
      <w:shd w:val="pct20" w:color="auto" w:fill="auto"/>
      <w:spacing w:after="160" w:line="259" w:lineRule="auto"/>
      <w:ind w:left="1080" w:leftChars="500" w:hanging="1080" w:hangingChars="500"/>
      <w:jc w:val="left"/>
    </w:pPr>
    <w:rPr>
      <w:rFonts w:ascii="等线" w:hAnsi="等线" w:eastAsia="等线" w:cs="Arial"/>
      <w:kern w:val="0"/>
      <w:sz w:val="24"/>
      <w:szCs w:val="24"/>
    </w:rPr>
  </w:style>
  <w:style w:type="paragraph" w:styleId="74">
    <w:name w:val="HTML Preformatted"/>
    <w:basedOn w:val="1"/>
    <w:link w:val="15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7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6">
    <w:name w:val="List Continue 3"/>
    <w:basedOn w:val="1"/>
    <w:qFormat/>
    <w:uiPriority w:val="0"/>
    <w:pPr>
      <w:widowControl/>
      <w:spacing w:after="120" w:line="259" w:lineRule="auto"/>
      <w:ind w:left="1260" w:leftChars="600"/>
      <w:jc w:val="left"/>
    </w:pPr>
    <w:rPr>
      <w:rFonts w:ascii="等线" w:hAnsi="等线" w:eastAsia="等线"/>
      <w:kern w:val="0"/>
      <w:sz w:val="22"/>
      <w:szCs w:val="22"/>
    </w:rPr>
  </w:style>
  <w:style w:type="paragraph" w:styleId="77">
    <w:name w:val="index 2"/>
    <w:basedOn w:val="1"/>
    <w:next w:val="1"/>
    <w:qFormat/>
    <w:uiPriority w:val="0"/>
    <w:pPr>
      <w:widowControl/>
      <w:spacing w:after="160" w:line="259" w:lineRule="auto"/>
      <w:ind w:left="200" w:leftChars="200"/>
      <w:jc w:val="left"/>
    </w:pPr>
    <w:rPr>
      <w:rFonts w:ascii="等线" w:hAnsi="等线" w:eastAsia="等线"/>
      <w:kern w:val="0"/>
      <w:sz w:val="22"/>
      <w:szCs w:val="22"/>
    </w:rPr>
  </w:style>
  <w:style w:type="paragraph" w:styleId="78">
    <w:name w:val="Title"/>
    <w:basedOn w:val="1"/>
    <w:next w:val="1"/>
    <w:link w:val="158"/>
    <w:qFormat/>
    <w:uiPriority w:val="10"/>
    <w:pPr>
      <w:spacing w:before="240" w:after="60"/>
      <w:jc w:val="center"/>
      <w:outlineLvl w:val="0"/>
    </w:pPr>
    <w:rPr>
      <w:rFonts w:ascii="Cambria" w:hAnsi="Cambria" w:eastAsia="宋体"/>
      <w:b/>
      <w:bCs/>
      <w:szCs w:val="32"/>
    </w:rPr>
  </w:style>
  <w:style w:type="paragraph" w:styleId="79">
    <w:name w:val="annotation subject"/>
    <w:basedOn w:val="27"/>
    <w:next w:val="27"/>
    <w:link w:val="221"/>
    <w:qFormat/>
    <w:uiPriority w:val="0"/>
    <w:rPr>
      <w:b/>
      <w:bCs/>
    </w:rPr>
  </w:style>
  <w:style w:type="paragraph" w:styleId="80">
    <w:name w:val="Body Text First Indent"/>
    <w:basedOn w:val="33"/>
    <w:link w:val="345"/>
    <w:qFormat/>
    <w:uiPriority w:val="0"/>
    <w:pPr>
      <w:spacing w:after="120" w:line="240" w:lineRule="auto"/>
      <w:ind w:firstLine="420" w:firstLineChars="100"/>
    </w:pPr>
    <w:rPr>
      <w:rFonts w:eastAsia="仿宋_GB2312"/>
      <w:sz w:val="32"/>
    </w:rPr>
  </w:style>
  <w:style w:type="paragraph" w:styleId="81">
    <w:name w:val="Body Text First Indent 2"/>
    <w:basedOn w:val="34"/>
    <w:link w:val="346"/>
    <w:qFormat/>
    <w:uiPriority w:val="0"/>
    <w:pPr>
      <w:ind w:firstLine="420" w:firstLineChars="200"/>
    </w:pPr>
  </w:style>
  <w:style w:type="table" w:styleId="83">
    <w:name w:val="Table Grid"/>
    <w:basedOn w:val="8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qFormat/>
    <w:uiPriority w:val="0"/>
    <w:pPr>
      <w:spacing w:afterLines="50" w:line="300" w:lineRule="auto"/>
      <w:jc w:val="both"/>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qFormat/>
    <w:uiPriority w:val="0"/>
    <w:pPr>
      <w:spacing w:afterLines="50" w:line="300" w:lineRule="auto"/>
      <w:jc w:val="both"/>
    </w:pPr>
    <w:rPr>
      <w:rFonts w:ascii="Arial" w:hAnsi="Arial"/>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6">
    <w:name w:val="Table Colorful 2"/>
    <w:basedOn w:val="82"/>
    <w:qFormat/>
    <w:uiPriority w:val="0"/>
    <w:pPr>
      <w:spacing w:afterLines="50" w:line="300" w:lineRule="auto"/>
      <w:jc w:val="both"/>
    </w:pPr>
    <w:rPr>
      <w:rFonts w:ascii="Arial" w:hAnsi="Arial"/>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7">
    <w:name w:val="Table Colorful 3"/>
    <w:basedOn w:val="82"/>
    <w:qFormat/>
    <w:uiPriority w:val="0"/>
    <w:pPr>
      <w:spacing w:line="300" w:lineRule="auto"/>
    </w:pPr>
    <w:rPr>
      <w:rFonts w:ascii="Arial" w:hAnsi="Arial"/>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8">
    <w:name w:val="Table Elegant"/>
    <w:basedOn w:val="82"/>
    <w:qFormat/>
    <w:uiPriority w:val="0"/>
    <w:pPr>
      <w:spacing w:afterLines="50" w:line="300" w:lineRule="auto"/>
      <w:jc w:val="both"/>
    </w:pPr>
    <w:rPr>
      <w:rFonts w:ascii="Arial" w:hAnsi="Arial"/>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9">
    <w:name w:val="Table Classic 1"/>
    <w:basedOn w:val="82"/>
    <w:qFormat/>
    <w:uiPriority w:val="0"/>
    <w:pPr>
      <w:spacing w:afterLines="50" w:line="300" w:lineRule="auto"/>
      <w:jc w:val="both"/>
    </w:pPr>
    <w:rPr>
      <w:rFonts w:ascii="Arial" w:hAnsi="Arial"/>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Classic 2"/>
    <w:basedOn w:val="82"/>
    <w:qFormat/>
    <w:uiPriority w:val="0"/>
    <w:pPr>
      <w:spacing w:afterLines="50" w:line="300" w:lineRule="auto"/>
      <w:jc w:val="both"/>
    </w:pPr>
    <w:rPr>
      <w:rFonts w:ascii="Arial" w:hAnsi="Arial"/>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1">
    <w:name w:val="Table Classic 3"/>
    <w:basedOn w:val="82"/>
    <w:qFormat/>
    <w:uiPriority w:val="0"/>
    <w:pPr>
      <w:spacing w:afterLines="50" w:line="300" w:lineRule="auto"/>
      <w:jc w:val="both"/>
    </w:pPr>
    <w:rPr>
      <w:rFonts w:ascii="Arial" w:hAnsi="Arial"/>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2">
    <w:name w:val="Table Classic 4"/>
    <w:basedOn w:val="82"/>
    <w:qFormat/>
    <w:uiPriority w:val="0"/>
    <w:pPr>
      <w:spacing w:afterLines="50" w:line="300" w:lineRule="auto"/>
      <w:jc w:val="both"/>
    </w:pPr>
    <w:rPr>
      <w:rFonts w:ascii="Arial" w:hAnsi="Arial"/>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3">
    <w:name w:val="Table Simple 1"/>
    <w:basedOn w:val="82"/>
    <w:qFormat/>
    <w:uiPriority w:val="0"/>
    <w:pPr>
      <w:spacing w:afterLines="50" w:line="300" w:lineRule="auto"/>
      <w:jc w:val="both"/>
    </w:pPr>
    <w:rPr>
      <w:rFonts w:ascii="Arial" w:hAnsi="Arial"/>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qFormat/>
    <w:uiPriority w:val="0"/>
    <w:pPr>
      <w:spacing w:afterLines="50" w:line="300" w:lineRule="auto"/>
      <w:jc w:val="both"/>
    </w:pPr>
    <w:rPr>
      <w:rFonts w:ascii="Arial" w:hAnsi="Arial"/>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Simple 3"/>
    <w:basedOn w:val="82"/>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6">
    <w:name w:val="Table Subtle 1"/>
    <w:basedOn w:val="82"/>
    <w:qFormat/>
    <w:uiPriority w:val="0"/>
    <w:pPr>
      <w:spacing w:afterLines="50" w:line="300" w:lineRule="auto"/>
      <w:jc w:val="both"/>
    </w:pPr>
    <w:rPr>
      <w:rFonts w:ascii="Arial" w:hAnsi="Arial"/>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Subtle 2"/>
    <w:basedOn w:val="82"/>
    <w:qFormat/>
    <w:uiPriority w:val="0"/>
    <w:pPr>
      <w:spacing w:afterLines="50" w:line="300" w:lineRule="auto"/>
      <w:jc w:val="both"/>
    </w:pPr>
    <w:rPr>
      <w:rFonts w:ascii="Arial" w:hAnsi="Arial"/>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3D effects 1"/>
    <w:basedOn w:val="8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qFormat/>
    <w:uiPriority w:val="0"/>
    <w:pPr>
      <w:spacing w:afterLines="50" w:line="300" w:lineRule="auto"/>
      <w:jc w:val="both"/>
    </w:pPr>
    <w:rPr>
      <w:rFonts w:ascii="Arial" w:hAnsi="Arial"/>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List 2"/>
    <w:basedOn w:val="82"/>
    <w:qFormat/>
    <w:uiPriority w:val="0"/>
    <w:pPr>
      <w:spacing w:afterLines="50" w:line="300" w:lineRule="auto"/>
      <w:jc w:val="both"/>
    </w:pPr>
    <w:rPr>
      <w:rFonts w:ascii="Arial" w:hAnsi="Arial"/>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List 3"/>
    <w:basedOn w:val="82"/>
    <w:qFormat/>
    <w:uiPriority w:val="0"/>
    <w:pPr>
      <w:spacing w:afterLines="50" w:line="300" w:lineRule="auto"/>
      <w:jc w:val="both"/>
    </w:pPr>
    <w:rPr>
      <w:rFonts w:ascii="Arial" w:hAnsi="Arial"/>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4">
    <w:name w:val="Table List 4"/>
    <w:basedOn w:val="82"/>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5">
    <w:name w:val="Table List 5"/>
    <w:basedOn w:val="82"/>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6">
    <w:name w:val="Table List 6"/>
    <w:basedOn w:val="82"/>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7">
    <w:name w:val="Table List 7"/>
    <w:basedOn w:val="82"/>
    <w:qFormat/>
    <w:uiPriority w:val="0"/>
    <w:pPr>
      <w:spacing w:afterLines="50" w:line="300" w:lineRule="auto"/>
      <w:jc w:val="both"/>
    </w:pPr>
    <w:rPr>
      <w:rFonts w:ascii="Arial" w:hAnsi="Arial"/>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8">
    <w:name w:val="Table List 8"/>
    <w:basedOn w:val="82"/>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9">
    <w:name w:val="Table Contemporary"/>
    <w:basedOn w:val="82"/>
    <w:qFormat/>
    <w:uiPriority w:val="0"/>
    <w:pPr>
      <w:spacing w:afterLines="50" w:line="300" w:lineRule="auto"/>
      <w:jc w:val="both"/>
    </w:pPr>
    <w:rPr>
      <w:rFonts w:ascii="Arial" w:hAnsi="Arial"/>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0">
    <w:name w:val="Table Columns 1"/>
    <w:basedOn w:val="82"/>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Columns 2"/>
    <w:basedOn w:val="82"/>
    <w:qFormat/>
    <w:uiPriority w:val="0"/>
    <w:pPr>
      <w:spacing w:afterLines="50" w:line="300" w:lineRule="auto"/>
      <w:jc w:val="both"/>
    </w:pPr>
    <w:rPr>
      <w:rFonts w:ascii="Arial" w:hAnsi="Arial"/>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2">
    <w:name w:val="Table Columns 3"/>
    <w:basedOn w:val="82"/>
    <w:qFormat/>
    <w:uiPriority w:val="0"/>
    <w:pPr>
      <w:spacing w:afterLines="50" w:line="300" w:lineRule="auto"/>
      <w:jc w:val="both"/>
    </w:pPr>
    <w:rPr>
      <w:rFonts w:ascii="Arial" w:hAnsi="Arial"/>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3">
    <w:name w:val="Table Columns 4"/>
    <w:basedOn w:val="82"/>
    <w:qFormat/>
    <w:uiPriority w:val="0"/>
    <w:pPr>
      <w:spacing w:afterLines="50" w:line="300" w:lineRule="auto"/>
      <w:jc w:val="both"/>
    </w:pPr>
    <w:rPr>
      <w:rFonts w:ascii="Arial" w:hAnsi="Arial"/>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qFormat/>
    <w:uiPriority w:val="0"/>
    <w:pPr>
      <w:spacing w:afterLines="50" w:line="300" w:lineRule="auto"/>
      <w:jc w:val="both"/>
    </w:pPr>
    <w:rPr>
      <w:rFonts w:ascii="Arial" w:hAnsi="Arial"/>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qFormat/>
    <w:uiPriority w:val="0"/>
    <w:pPr>
      <w:spacing w:afterLines="50" w:line="300" w:lineRule="auto"/>
      <w:jc w:val="both"/>
    </w:pPr>
    <w:rPr>
      <w:rFonts w:ascii="Arial" w:hAnsi="Arial"/>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7">
    <w:name w:val="Table Grid 3"/>
    <w:basedOn w:val="82"/>
    <w:qFormat/>
    <w:uiPriority w:val="0"/>
    <w:pPr>
      <w:spacing w:afterLines="50" w:line="300" w:lineRule="auto"/>
      <w:jc w:val="both"/>
    </w:pPr>
    <w:rPr>
      <w:rFonts w:ascii="Arial" w:hAnsi="Arial"/>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4"/>
    <w:basedOn w:val="82"/>
    <w:qFormat/>
    <w:uiPriority w:val="0"/>
    <w:pPr>
      <w:spacing w:afterLines="50" w:line="300" w:lineRule="auto"/>
      <w:jc w:val="both"/>
    </w:pPr>
    <w:rPr>
      <w:rFonts w:ascii="Arial" w:hAnsi="Arial"/>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9">
    <w:name w:val="Table Grid 5"/>
    <w:basedOn w:val="82"/>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6"/>
    <w:basedOn w:val="82"/>
    <w:qFormat/>
    <w:uiPriority w:val="0"/>
    <w:pPr>
      <w:spacing w:afterLines="50" w:line="300" w:lineRule="auto"/>
      <w:jc w:val="both"/>
    </w:pPr>
    <w:rPr>
      <w:rFonts w:ascii="Arial" w:hAnsi="Arial"/>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7"/>
    <w:basedOn w:val="82"/>
    <w:qFormat/>
    <w:uiPriority w:val="0"/>
    <w:pPr>
      <w:spacing w:afterLines="50" w:line="300" w:lineRule="auto"/>
      <w:jc w:val="both"/>
    </w:pPr>
    <w:rPr>
      <w:rFonts w:ascii="Arial" w:hAnsi="Arial"/>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8"/>
    <w:basedOn w:val="82"/>
    <w:qFormat/>
    <w:uiPriority w:val="0"/>
    <w:pPr>
      <w:spacing w:afterLines="50" w:line="300" w:lineRule="auto"/>
      <w:jc w:val="both"/>
    </w:pPr>
    <w:rPr>
      <w:rFonts w:ascii="Arial" w:hAnsi="Arial"/>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Web 1"/>
    <w:basedOn w:val="82"/>
    <w:qFormat/>
    <w:uiPriority w:val="0"/>
    <w:pPr>
      <w:spacing w:afterLines="50" w:line="300" w:lineRule="auto"/>
      <w:jc w:val="both"/>
    </w:pPr>
    <w:rPr>
      <w:rFonts w:ascii="Arial" w:hAnsi="Arial"/>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4">
    <w:name w:val="Table Web 2"/>
    <w:basedOn w:val="82"/>
    <w:qFormat/>
    <w:uiPriority w:val="0"/>
    <w:pPr>
      <w:spacing w:afterLines="50" w:line="300" w:lineRule="auto"/>
      <w:jc w:val="both"/>
    </w:pPr>
    <w:rPr>
      <w:rFonts w:ascii="Arial" w:hAnsi="Arial"/>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5">
    <w:name w:val="Table Web 3"/>
    <w:basedOn w:val="82"/>
    <w:qFormat/>
    <w:uiPriority w:val="0"/>
    <w:pPr>
      <w:spacing w:afterLines="50" w:line="300" w:lineRule="auto"/>
      <w:jc w:val="both"/>
    </w:pPr>
    <w:rPr>
      <w:rFonts w:ascii="Arial" w:hAnsi="Arial"/>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6">
    <w:name w:val="Table Professional"/>
    <w:basedOn w:val="82"/>
    <w:qFormat/>
    <w:uiPriority w:val="0"/>
    <w:pPr>
      <w:spacing w:afterLines="50" w:line="300" w:lineRule="auto"/>
      <w:jc w:val="both"/>
    </w:pPr>
    <w:rPr>
      <w:rFonts w:ascii="Arial" w:hAnsi="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8">
    <w:name w:val="Strong"/>
    <w:basedOn w:val="127"/>
    <w:qFormat/>
    <w:uiPriority w:val="0"/>
    <w:rPr>
      <w:b/>
      <w:bCs/>
    </w:rPr>
  </w:style>
  <w:style w:type="character" w:styleId="129">
    <w:name w:val="endnote reference"/>
    <w:qFormat/>
    <w:uiPriority w:val="0"/>
    <w:rPr>
      <w:vertAlign w:val="superscript"/>
    </w:rPr>
  </w:style>
  <w:style w:type="character" w:styleId="130">
    <w:name w:val="page number"/>
    <w:basedOn w:val="127"/>
    <w:qFormat/>
    <w:uiPriority w:val="0"/>
  </w:style>
  <w:style w:type="character" w:styleId="131">
    <w:name w:val="FollowedHyperlink"/>
    <w:basedOn w:val="127"/>
    <w:qFormat/>
    <w:uiPriority w:val="0"/>
    <w:rPr>
      <w:color w:val="800080"/>
      <w:u w:val="single"/>
    </w:rPr>
  </w:style>
  <w:style w:type="character" w:styleId="132">
    <w:name w:val="Emphasis"/>
    <w:qFormat/>
    <w:uiPriority w:val="20"/>
    <w:rPr>
      <w:i/>
      <w:iCs/>
      <w:color w:val="auto"/>
    </w:rPr>
  </w:style>
  <w:style w:type="character" w:styleId="133">
    <w:name w:val="line number"/>
    <w:qFormat/>
    <w:uiPriority w:val="0"/>
  </w:style>
  <w:style w:type="character" w:styleId="134">
    <w:name w:val="HTML Definition"/>
    <w:qFormat/>
    <w:uiPriority w:val="0"/>
    <w:rPr>
      <w:i/>
      <w:iCs/>
    </w:rPr>
  </w:style>
  <w:style w:type="character" w:styleId="135">
    <w:name w:val="HTML Typewriter"/>
    <w:qFormat/>
    <w:uiPriority w:val="0"/>
    <w:rPr>
      <w:rFonts w:ascii="Courier New" w:hAnsi="Courier New" w:cs="Courier New"/>
      <w:sz w:val="20"/>
      <w:szCs w:val="20"/>
    </w:rPr>
  </w:style>
  <w:style w:type="character" w:styleId="136">
    <w:name w:val="HTML Acronym"/>
    <w:qFormat/>
    <w:uiPriority w:val="0"/>
  </w:style>
  <w:style w:type="character" w:styleId="137">
    <w:name w:val="HTML Variable"/>
    <w:qFormat/>
    <w:uiPriority w:val="0"/>
    <w:rPr>
      <w:i/>
      <w:iCs/>
    </w:rPr>
  </w:style>
  <w:style w:type="character" w:styleId="138">
    <w:name w:val="Hyperlink"/>
    <w:basedOn w:val="127"/>
    <w:qFormat/>
    <w:uiPriority w:val="99"/>
    <w:rPr>
      <w:color w:val="0000FF"/>
      <w:u w:val="single"/>
    </w:rPr>
  </w:style>
  <w:style w:type="character" w:styleId="139">
    <w:name w:val="HTML Code"/>
    <w:qFormat/>
    <w:uiPriority w:val="0"/>
    <w:rPr>
      <w:rFonts w:ascii="Courier New" w:hAnsi="Courier New" w:cs="Courier New"/>
      <w:sz w:val="20"/>
      <w:szCs w:val="20"/>
    </w:rPr>
  </w:style>
  <w:style w:type="character" w:styleId="140">
    <w:name w:val="annotation reference"/>
    <w:qFormat/>
    <w:uiPriority w:val="0"/>
    <w:rPr>
      <w:sz w:val="21"/>
      <w:szCs w:val="21"/>
    </w:rPr>
  </w:style>
  <w:style w:type="character" w:styleId="141">
    <w:name w:val="HTML Cite"/>
    <w:qFormat/>
    <w:uiPriority w:val="0"/>
    <w:rPr>
      <w:i/>
      <w:iCs/>
    </w:rPr>
  </w:style>
  <w:style w:type="character" w:styleId="142">
    <w:name w:val="footnote reference"/>
    <w:qFormat/>
    <w:uiPriority w:val="0"/>
    <w:rPr>
      <w:vertAlign w:val="superscript"/>
    </w:rPr>
  </w:style>
  <w:style w:type="character" w:styleId="143">
    <w:name w:val="HTML Keyboard"/>
    <w:qFormat/>
    <w:uiPriority w:val="0"/>
    <w:rPr>
      <w:rFonts w:ascii="Courier New" w:hAnsi="Courier New" w:cs="Courier New"/>
      <w:sz w:val="20"/>
      <w:szCs w:val="20"/>
    </w:rPr>
  </w:style>
  <w:style w:type="character" w:styleId="144">
    <w:name w:val="HTML Sample"/>
    <w:qFormat/>
    <w:uiPriority w:val="0"/>
    <w:rPr>
      <w:rFonts w:ascii="Courier New" w:hAnsi="Courier New" w:cs="Courier New"/>
    </w:rPr>
  </w:style>
  <w:style w:type="character" w:customStyle="1" w:styleId="145">
    <w:name w:val="标题 1 Char"/>
    <w:basedOn w:val="127"/>
    <w:link w:val="3"/>
    <w:qFormat/>
    <w:uiPriority w:val="0"/>
    <w:rPr>
      <w:rFonts w:ascii="宋体" w:hAnsi="宋体"/>
      <w:b/>
      <w:kern w:val="44"/>
      <w:sz w:val="48"/>
      <w:szCs w:val="48"/>
    </w:rPr>
  </w:style>
  <w:style w:type="character" w:customStyle="1" w:styleId="146">
    <w:name w:val="标题 2 Char"/>
    <w:basedOn w:val="127"/>
    <w:link w:val="4"/>
    <w:qFormat/>
    <w:uiPriority w:val="9"/>
    <w:rPr>
      <w:rFonts w:ascii="Cambria" w:hAnsi="Cambria"/>
      <w:b/>
      <w:bCs/>
      <w:kern w:val="2"/>
      <w:sz w:val="32"/>
      <w:szCs w:val="32"/>
    </w:rPr>
  </w:style>
  <w:style w:type="character" w:customStyle="1" w:styleId="147">
    <w:name w:val="正文文本 Char"/>
    <w:basedOn w:val="127"/>
    <w:link w:val="33"/>
    <w:qFormat/>
    <w:locked/>
    <w:uiPriority w:val="1"/>
    <w:rPr>
      <w:rFonts w:eastAsia="小标宋"/>
      <w:kern w:val="2"/>
      <w:sz w:val="44"/>
      <w:lang w:val="en-US" w:eastAsia="zh-CN" w:bidi="ar-SA"/>
    </w:rPr>
  </w:style>
  <w:style w:type="character" w:customStyle="1" w:styleId="148">
    <w:name w:val="正文文本缩进 Char"/>
    <w:basedOn w:val="127"/>
    <w:link w:val="34"/>
    <w:qFormat/>
    <w:uiPriority w:val="0"/>
    <w:rPr>
      <w:rFonts w:eastAsia="仿宋_GB2312"/>
      <w:kern w:val="2"/>
      <w:sz w:val="32"/>
    </w:rPr>
  </w:style>
  <w:style w:type="character" w:customStyle="1" w:styleId="149">
    <w:name w:val="纯文本 Char"/>
    <w:basedOn w:val="127"/>
    <w:link w:val="43"/>
    <w:qFormat/>
    <w:uiPriority w:val="0"/>
    <w:rPr>
      <w:rFonts w:ascii="宋体" w:hAnsi="Courier New" w:cs="宋体"/>
      <w:kern w:val="2"/>
      <w:sz w:val="24"/>
      <w:szCs w:val="24"/>
    </w:rPr>
  </w:style>
  <w:style w:type="character" w:customStyle="1" w:styleId="150">
    <w:name w:val="日期 Char"/>
    <w:basedOn w:val="127"/>
    <w:link w:val="47"/>
    <w:qFormat/>
    <w:uiPriority w:val="0"/>
    <w:rPr>
      <w:rFonts w:eastAsia="仿宋_GB2312"/>
      <w:kern w:val="2"/>
      <w:sz w:val="32"/>
    </w:rPr>
  </w:style>
  <w:style w:type="character" w:customStyle="1" w:styleId="151">
    <w:name w:val="正文文本缩进 2 Char"/>
    <w:basedOn w:val="127"/>
    <w:link w:val="48"/>
    <w:qFormat/>
    <w:uiPriority w:val="0"/>
    <w:rPr>
      <w:rFonts w:ascii="仿宋_GB2312" w:eastAsia="仿宋_GB2312" w:cs="仿宋_GB2312"/>
      <w:kern w:val="2"/>
      <w:sz w:val="30"/>
      <w:szCs w:val="30"/>
    </w:rPr>
  </w:style>
  <w:style w:type="character" w:customStyle="1" w:styleId="152">
    <w:name w:val="批注框文本 Char"/>
    <w:basedOn w:val="127"/>
    <w:link w:val="51"/>
    <w:qFormat/>
    <w:uiPriority w:val="0"/>
    <w:rPr>
      <w:rFonts w:eastAsia="仿宋_GB2312"/>
      <w:kern w:val="2"/>
      <w:sz w:val="18"/>
      <w:szCs w:val="18"/>
    </w:rPr>
  </w:style>
  <w:style w:type="character" w:customStyle="1" w:styleId="153">
    <w:name w:val="页脚 Char"/>
    <w:basedOn w:val="127"/>
    <w:link w:val="52"/>
    <w:qFormat/>
    <w:uiPriority w:val="99"/>
    <w:rPr>
      <w:rFonts w:eastAsia="仿宋_GB2312"/>
      <w:kern w:val="2"/>
      <w:sz w:val="18"/>
    </w:rPr>
  </w:style>
  <w:style w:type="character" w:customStyle="1" w:styleId="154">
    <w:name w:val="页眉 Char"/>
    <w:basedOn w:val="127"/>
    <w:link w:val="54"/>
    <w:qFormat/>
    <w:uiPriority w:val="99"/>
    <w:rPr>
      <w:rFonts w:eastAsia="仿宋_GB2312"/>
      <w:kern w:val="2"/>
      <w:sz w:val="18"/>
    </w:rPr>
  </w:style>
  <w:style w:type="character" w:customStyle="1" w:styleId="155">
    <w:name w:val="脚注文本 Char"/>
    <w:basedOn w:val="127"/>
    <w:link w:val="63"/>
    <w:qFormat/>
    <w:uiPriority w:val="0"/>
    <w:rPr>
      <w:rFonts w:ascii="Calibri" w:hAnsi="Calibri"/>
      <w:kern w:val="2"/>
      <w:sz w:val="21"/>
      <w:szCs w:val="24"/>
    </w:rPr>
  </w:style>
  <w:style w:type="character" w:customStyle="1" w:styleId="156">
    <w:name w:val="正文文本缩进 3 Char"/>
    <w:basedOn w:val="127"/>
    <w:link w:val="65"/>
    <w:qFormat/>
    <w:uiPriority w:val="0"/>
    <w:rPr>
      <w:rFonts w:ascii="仿宋_GB2312" w:eastAsia="仿宋_GB2312" w:cs="仿宋_GB2312"/>
      <w:kern w:val="2"/>
      <w:sz w:val="30"/>
      <w:szCs w:val="30"/>
    </w:rPr>
  </w:style>
  <w:style w:type="character" w:customStyle="1" w:styleId="157">
    <w:name w:val="HTML 预设格式 Char"/>
    <w:basedOn w:val="127"/>
    <w:link w:val="74"/>
    <w:qFormat/>
    <w:uiPriority w:val="0"/>
    <w:rPr>
      <w:rFonts w:ascii="宋体" w:hAnsi="宋体"/>
      <w:sz w:val="24"/>
      <w:szCs w:val="24"/>
    </w:rPr>
  </w:style>
  <w:style w:type="character" w:customStyle="1" w:styleId="158">
    <w:name w:val="标题 Char"/>
    <w:basedOn w:val="127"/>
    <w:link w:val="78"/>
    <w:qFormat/>
    <w:uiPriority w:val="0"/>
    <w:rPr>
      <w:rFonts w:ascii="Cambria" w:hAnsi="Cambria"/>
      <w:b/>
      <w:bCs/>
      <w:kern w:val="2"/>
      <w:sz w:val="32"/>
      <w:szCs w:val="32"/>
    </w:rPr>
  </w:style>
  <w:style w:type="paragraph" w:customStyle="1" w:styleId="159">
    <w:name w:val=" Char"/>
    <w:basedOn w:val="1"/>
    <w:semiHidden/>
    <w:qFormat/>
    <w:uiPriority w:val="0"/>
    <w:pPr>
      <w:snapToGrid w:val="0"/>
      <w:spacing w:line="520" w:lineRule="exact"/>
    </w:pPr>
    <w:rPr>
      <w:rFonts w:ascii="黑体" w:hAnsi="Arial" w:eastAsia="黑体"/>
      <w:sz w:val="30"/>
      <w:szCs w:val="30"/>
    </w:rPr>
  </w:style>
  <w:style w:type="paragraph" w:customStyle="1" w:styleId="1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2">
    <w:name w:val="Char1"/>
    <w:basedOn w:val="1"/>
    <w:semiHidden/>
    <w:qFormat/>
    <w:uiPriority w:val="0"/>
    <w:pPr>
      <w:widowControl/>
      <w:spacing w:after="160" w:line="240" w:lineRule="exact"/>
      <w:jc w:val="left"/>
    </w:pPr>
    <w:rPr>
      <w:rFonts w:ascii="Verdana" w:hAnsi="Verdana"/>
      <w:kern w:val="0"/>
      <w:sz w:val="24"/>
      <w:lang w:eastAsia="en-US"/>
    </w:rPr>
  </w:style>
  <w:style w:type="paragraph" w:customStyle="1" w:styleId="163">
    <w:name w:val="char"/>
    <w:basedOn w:val="1"/>
    <w:qFormat/>
    <w:uiPriority w:val="0"/>
    <w:pPr>
      <w:widowControl/>
      <w:spacing w:after="160" w:line="240" w:lineRule="exact"/>
      <w:jc w:val="left"/>
    </w:pPr>
    <w:rPr>
      <w:rFonts w:eastAsia="宋体"/>
      <w:sz w:val="21"/>
      <w:szCs w:val="24"/>
    </w:rPr>
  </w:style>
  <w:style w:type="character" w:customStyle="1" w:styleId="164">
    <w:name w:val="font01"/>
    <w:basedOn w:val="127"/>
    <w:qFormat/>
    <w:uiPriority w:val="0"/>
    <w:rPr>
      <w:rFonts w:hint="default" w:ascii="Times New Roman" w:hAnsi="Times New Roman" w:cs="Times New Roman"/>
      <w:color w:val="000000"/>
      <w:sz w:val="36"/>
      <w:szCs w:val="36"/>
      <w:u w:val="none"/>
    </w:rPr>
  </w:style>
  <w:style w:type="character" w:customStyle="1" w:styleId="165">
    <w:name w:val="font31"/>
    <w:basedOn w:val="127"/>
    <w:qFormat/>
    <w:uiPriority w:val="0"/>
    <w:rPr>
      <w:rFonts w:hint="eastAsia" w:ascii="宋体" w:hAnsi="宋体" w:eastAsia="宋体" w:cs="宋体"/>
      <w:color w:val="000000"/>
      <w:sz w:val="36"/>
      <w:szCs w:val="36"/>
      <w:u w:val="none"/>
    </w:rPr>
  </w:style>
  <w:style w:type="character" w:customStyle="1" w:styleId="166">
    <w:name w:val="font21"/>
    <w:basedOn w:val="127"/>
    <w:qFormat/>
    <w:uiPriority w:val="0"/>
    <w:rPr>
      <w:rFonts w:hint="default" w:ascii="Times New Roman" w:hAnsi="Times New Roman" w:cs="Times New Roman"/>
      <w:color w:val="000000"/>
      <w:sz w:val="28"/>
      <w:szCs w:val="28"/>
      <w:u w:val="none"/>
    </w:rPr>
  </w:style>
  <w:style w:type="character" w:customStyle="1" w:styleId="167">
    <w:name w:val="font41"/>
    <w:basedOn w:val="127"/>
    <w:qFormat/>
    <w:uiPriority w:val="0"/>
    <w:rPr>
      <w:rFonts w:hint="eastAsia" w:ascii="宋体" w:hAnsi="宋体" w:eastAsia="宋体" w:cs="宋体"/>
      <w:color w:val="000000"/>
      <w:sz w:val="28"/>
      <w:szCs w:val="28"/>
      <w:u w:val="none"/>
    </w:rPr>
  </w:style>
  <w:style w:type="paragraph" w:customStyle="1" w:styleId="168">
    <w:name w:val="Char Char Char"/>
    <w:basedOn w:val="1"/>
    <w:next w:val="33"/>
    <w:qFormat/>
    <w:uiPriority w:val="0"/>
    <w:pPr>
      <w:spacing w:line="480" w:lineRule="auto"/>
    </w:pPr>
    <w:rPr>
      <w:rFonts w:eastAsia="宋体"/>
      <w:sz w:val="21"/>
    </w:rPr>
  </w:style>
  <w:style w:type="paragraph" w:customStyle="1" w:styleId="169">
    <w:name w:val="列出段落1"/>
    <w:basedOn w:val="1"/>
    <w:qFormat/>
    <w:uiPriority w:val="1"/>
    <w:pPr>
      <w:ind w:firstLine="420" w:firstLineChars="200"/>
    </w:pPr>
    <w:rPr>
      <w:rFonts w:ascii="Calibri" w:hAnsi="Calibri" w:eastAsia="宋体"/>
      <w:sz w:val="24"/>
      <w:szCs w:val="24"/>
    </w:rPr>
  </w:style>
  <w:style w:type="character" w:customStyle="1" w:styleId="170">
    <w:name w:val="font11"/>
    <w:basedOn w:val="127"/>
    <w:qFormat/>
    <w:uiPriority w:val="0"/>
    <w:rPr>
      <w:rFonts w:hint="default" w:ascii="仿宋_GB2312" w:eastAsia="仿宋_GB2312" w:cs="仿宋_GB2312"/>
      <w:color w:val="000000"/>
      <w:sz w:val="20"/>
      <w:szCs w:val="20"/>
      <w:u w:val="none"/>
    </w:rPr>
  </w:style>
  <w:style w:type="character" w:customStyle="1" w:styleId="171">
    <w:name w:val="标准 字符"/>
    <w:basedOn w:val="127"/>
    <w:link w:val="172"/>
    <w:qFormat/>
    <w:uiPriority w:val="0"/>
    <w:rPr>
      <w:kern w:val="2"/>
      <w:sz w:val="24"/>
      <w:szCs w:val="22"/>
    </w:rPr>
  </w:style>
  <w:style w:type="paragraph" w:customStyle="1" w:styleId="172">
    <w:name w:val="标准"/>
    <w:basedOn w:val="1"/>
    <w:link w:val="171"/>
    <w:qFormat/>
    <w:uiPriority w:val="0"/>
    <w:pPr>
      <w:spacing w:line="360" w:lineRule="auto"/>
      <w:ind w:firstLine="480" w:firstLineChars="200"/>
    </w:pPr>
    <w:rPr>
      <w:rFonts w:eastAsia="宋体"/>
      <w:sz w:val="24"/>
      <w:szCs w:val="22"/>
    </w:rPr>
  </w:style>
  <w:style w:type="paragraph" w:styleId="173">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styleId="174">
    <w:name w:val="List Paragraph"/>
    <w:basedOn w:val="1"/>
    <w:qFormat/>
    <w:uiPriority w:val="34"/>
    <w:pPr>
      <w:ind w:firstLine="420" w:firstLineChars="200"/>
    </w:pPr>
    <w:rPr>
      <w:rFonts w:ascii="Calibri" w:hAnsi="Calibri" w:eastAsia="宋体"/>
      <w:sz w:val="21"/>
      <w:szCs w:val="24"/>
    </w:rPr>
  </w:style>
  <w:style w:type="paragraph" w:customStyle="1" w:styleId="175">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176">
    <w:name w:val="NormalCharacter"/>
    <w:qFormat/>
    <w:uiPriority w:val="0"/>
  </w:style>
  <w:style w:type="character" w:customStyle="1" w:styleId="177">
    <w:name w:val="font61"/>
    <w:basedOn w:val="127"/>
    <w:qFormat/>
    <w:uiPriority w:val="0"/>
    <w:rPr>
      <w:rFonts w:hint="eastAsia" w:ascii="仿宋_GB2312" w:eastAsia="仿宋_GB2312" w:cs="仿宋_GB2312"/>
      <w:color w:val="000000"/>
      <w:sz w:val="20"/>
      <w:szCs w:val="20"/>
      <w:u w:val="none"/>
    </w:rPr>
  </w:style>
  <w:style w:type="character" w:customStyle="1" w:styleId="178">
    <w:name w:val="font71"/>
    <w:basedOn w:val="127"/>
    <w:qFormat/>
    <w:uiPriority w:val="0"/>
    <w:rPr>
      <w:rFonts w:hint="eastAsia" w:ascii="宋体" w:hAnsi="宋体" w:eastAsia="宋体" w:cs="宋体"/>
      <w:color w:val="000000"/>
      <w:sz w:val="20"/>
      <w:szCs w:val="20"/>
      <w:u w:val="none"/>
    </w:rPr>
  </w:style>
  <w:style w:type="paragraph" w:customStyle="1" w:styleId="179">
    <w:name w:val="正文首行缩进1"/>
    <w:basedOn w:val="33"/>
    <w:qFormat/>
    <w:uiPriority w:val="0"/>
    <w:pPr>
      <w:spacing w:after="120" w:line="240" w:lineRule="auto"/>
      <w:ind w:firstLine="420" w:firstLineChars="100"/>
    </w:pPr>
    <w:rPr>
      <w:rFonts w:eastAsia="仿宋_GB2312"/>
      <w:sz w:val="32"/>
    </w:rPr>
  </w:style>
  <w:style w:type="table" w:customStyle="1" w:styleId="180">
    <w:name w:val="网格型1"/>
    <w:basedOn w:val="8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网格型2"/>
    <w:basedOn w:val="8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网格型3"/>
    <w:basedOn w:val="8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3">
    <w:name w:val="_Style 71"/>
    <w:basedOn w:val="1"/>
    <w:next w:val="1"/>
    <w:qFormat/>
    <w:uiPriority w:val="39"/>
    <w:pPr>
      <w:widowControl/>
      <w:spacing w:after="160" w:line="259" w:lineRule="auto"/>
      <w:ind w:left="210"/>
      <w:jc w:val="left"/>
    </w:pPr>
    <w:rPr>
      <w:rFonts w:ascii="Calibri" w:hAnsi="Calibri" w:eastAsia="等线"/>
      <w:smallCaps/>
      <w:kern w:val="0"/>
      <w:sz w:val="20"/>
    </w:rPr>
  </w:style>
  <w:style w:type="paragraph" w:customStyle="1" w:styleId="184">
    <w:name w:val="TOC Heading"/>
    <w:basedOn w:val="3"/>
    <w:next w:val="1"/>
    <w:unhideWhenUsed/>
    <w:qFormat/>
    <w:uiPriority w:val="39"/>
    <w:pPr>
      <w:keepNext/>
      <w:keepLines/>
      <w:widowControl/>
      <w:spacing w:before="240" w:beforeAutospacing="0" w:after="0" w:afterAutospacing="0" w:line="259" w:lineRule="auto"/>
      <w:outlineLvl w:val="9"/>
    </w:pPr>
    <w:rPr>
      <w:rFonts w:hint="default" w:ascii="等线 Light" w:hAnsi="等线 Light" w:eastAsia="等线 Light"/>
      <w:b w:val="0"/>
      <w:color w:val="2F5496"/>
      <w:kern w:val="0"/>
      <w:sz w:val="32"/>
      <w:szCs w:val="32"/>
    </w:rPr>
  </w:style>
  <w:style w:type="character" w:customStyle="1" w:styleId="185">
    <w:name w:val="标题 3 Char"/>
    <w:basedOn w:val="127"/>
    <w:link w:val="5"/>
    <w:semiHidden/>
    <w:qFormat/>
    <w:uiPriority w:val="0"/>
    <w:rPr>
      <w:rFonts w:eastAsia="仿宋_GB2312"/>
      <w:b/>
      <w:bCs/>
      <w:kern w:val="2"/>
      <w:sz w:val="32"/>
      <w:szCs w:val="32"/>
    </w:rPr>
  </w:style>
  <w:style w:type="character" w:customStyle="1" w:styleId="186">
    <w:name w:val="标题 4 Char"/>
    <w:basedOn w:val="127"/>
    <w:link w:val="6"/>
    <w:semiHidden/>
    <w:qFormat/>
    <w:uiPriority w:val="0"/>
    <w:rPr>
      <w:rFonts w:ascii="Cambria" w:hAnsi="Cambria" w:eastAsia="宋体" w:cs="Times New Roman"/>
      <w:b/>
      <w:bCs/>
      <w:kern w:val="2"/>
      <w:sz w:val="28"/>
      <w:szCs w:val="28"/>
    </w:rPr>
  </w:style>
  <w:style w:type="character" w:customStyle="1" w:styleId="187">
    <w:name w:val="标题 5 Char"/>
    <w:basedOn w:val="127"/>
    <w:link w:val="7"/>
    <w:semiHidden/>
    <w:qFormat/>
    <w:uiPriority w:val="0"/>
    <w:rPr>
      <w:rFonts w:eastAsia="仿宋_GB2312"/>
      <w:b/>
      <w:bCs/>
      <w:kern w:val="2"/>
      <w:sz w:val="28"/>
      <w:szCs w:val="28"/>
    </w:rPr>
  </w:style>
  <w:style w:type="character" w:customStyle="1" w:styleId="188">
    <w:name w:val="标题 6 Char"/>
    <w:basedOn w:val="127"/>
    <w:link w:val="8"/>
    <w:semiHidden/>
    <w:qFormat/>
    <w:uiPriority w:val="0"/>
    <w:rPr>
      <w:rFonts w:ascii="Cambria" w:hAnsi="Cambria" w:eastAsia="宋体" w:cs="Times New Roman"/>
      <w:b/>
      <w:bCs/>
      <w:kern w:val="2"/>
      <w:sz w:val="24"/>
      <w:szCs w:val="24"/>
    </w:rPr>
  </w:style>
  <w:style w:type="character" w:customStyle="1" w:styleId="189">
    <w:name w:val="标题 7 Char"/>
    <w:basedOn w:val="127"/>
    <w:link w:val="9"/>
    <w:semiHidden/>
    <w:qFormat/>
    <w:uiPriority w:val="0"/>
    <w:rPr>
      <w:rFonts w:eastAsia="仿宋_GB2312"/>
      <w:b/>
      <w:bCs/>
      <w:kern w:val="2"/>
      <w:sz w:val="24"/>
      <w:szCs w:val="24"/>
    </w:rPr>
  </w:style>
  <w:style w:type="character" w:customStyle="1" w:styleId="190">
    <w:name w:val="标题 8 Char"/>
    <w:basedOn w:val="127"/>
    <w:link w:val="10"/>
    <w:semiHidden/>
    <w:qFormat/>
    <w:uiPriority w:val="0"/>
    <w:rPr>
      <w:rFonts w:ascii="Cambria" w:hAnsi="Cambria" w:eastAsia="宋体" w:cs="Times New Roman"/>
      <w:kern w:val="2"/>
      <w:sz w:val="24"/>
      <w:szCs w:val="24"/>
    </w:rPr>
  </w:style>
  <w:style w:type="character" w:customStyle="1" w:styleId="191">
    <w:name w:val="标题 9 Char"/>
    <w:basedOn w:val="127"/>
    <w:link w:val="11"/>
    <w:semiHidden/>
    <w:qFormat/>
    <w:uiPriority w:val="0"/>
    <w:rPr>
      <w:rFonts w:ascii="Cambria" w:hAnsi="Cambria" w:eastAsia="宋体" w:cs="Times New Roman"/>
      <w:kern w:val="2"/>
      <w:sz w:val="21"/>
      <w:szCs w:val="21"/>
    </w:rPr>
  </w:style>
  <w:style w:type="character" w:customStyle="1" w:styleId="192">
    <w:name w:val="宏文本 Char"/>
    <w:basedOn w:val="127"/>
    <w:link w:val="2"/>
    <w:qFormat/>
    <w:uiPriority w:val="0"/>
    <w:rPr>
      <w:rFonts w:ascii="Courier New" w:hAnsi="Courier New" w:eastAsia="等线" w:cs="Courier New"/>
      <w:sz w:val="24"/>
      <w:szCs w:val="24"/>
      <w:lang w:val="en-US" w:eastAsia="zh-CN" w:bidi="ar-SA"/>
    </w:rPr>
  </w:style>
  <w:style w:type="character" w:customStyle="1" w:styleId="193">
    <w:name w:val="标题 1 字符"/>
    <w:qFormat/>
    <w:uiPriority w:val="9"/>
    <w:rPr>
      <w:rFonts w:ascii="等线 Light" w:hAnsi="等线 Light" w:eastAsia="等线 Light" w:cs="Times New Roman"/>
      <w:color w:val="2F5496"/>
      <w:sz w:val="32"/>
      <w:szCs w:val="32"/>
    </w:rPr>
  </w:style>
  <w:style w:type="character" w:customStyle="1" w:styleId="194">
    <w:name w:val="标题 2 字符"/>
    <w:qFormat/>
    <w:uiPriority w:val="9"/>
    <w:rPr>
      <w:rFonts w:ascii="等线 Light" w:hAnsi="等线 Light" w:eastAsia="等线 Light" w:cs="Times New Roman"/>
      <w:color w:val="2F5496"/>
      <w:sz w:val="28"/>
      <w:szCs w:val="28"/>
    </w:rPr>
  </w:style>
  <w:style w:type="character" w:customStyle="1" w:styleId="195">
    <w:name w:val="标题 3 字符"/>
    <w:link w:val="5"/>
    <w:qFormat/>
    <w:uiPriority w:val="9"/>
    <w:rPr>
      <w:rFonts w:ascii="等线 Light" w:hAnsi="等线 Light" w:eastAsia="等线 Light"/>
      <w:color w:val="1F3864"/>
      <w:sz w:val="24"/>
      <w:szCs w:val="24"/>
    </w:rPr>
  </w:style>
  <w:style w:type="character" w:customStyle="1" w:styleId="196">
    <w:name w:val="标题 4 字符"/>
    <w:link w:val="6"/>
    <w:qFormat/>
    <w:uiPriority w:val="9"/>
    <w:rPr>
      <w:rFonts w:ascii="等线 Light" w:hAnsi="等线 Light" w:eastAsia="等线 Light"/>
      <w:i/>
      <w:iCs/>
      <w:color w:val="2F5496"/>
      <w:sz w:val="22"/>
      <w:szCs w:val="22"/>
    </w:rPr>
  </w:style>
  <w:style w:type="character" w:customStyle="1" w:styleId="197">
    <w:name w:val="标题 5 字符"/>
    <w:link w:val="7"/>
    <w:qFormat/>
    <w:uiPriority w:val="9"/>
    <w:rPr>
      <w:rFonts w:ascii="等线 Light" w:hAnsi="等线 Light" w:eastAsia="等线 Light"/>
      <w:color w:val="2F5496"/>
      <w:sz w:val="22"/>
      <w:szCs w:val="22"/>
    </w:rPr>
  </w:style>
  <w:style w:type="character" w:customStyle="1" w:styleId="198">
    <w:name w:val="标题 6 字符"/>
    <w:link w:val="8"/>
    <w:qFormat/>
    <w:uiPriority w:val="9"/>
    <w:rPr>
      <w:rFonts w:ascii="等线 Light" w:hAnsi="等线 Light" w:eastAsia="等线 Light"/>
      <w:color w:val="1F3864"/>
      <w:sz w:val="22"/>
      <w:szCs w:val="22"/>
    </w:rPr>
  </w:style>
  <w:style w:type="character" w:customStyle="1" w:styleId="199">
    <w:name w:val="标题 7 字符"/>
    <w:link w:val="9"/>
    <w:qFormat/>
    <w:uiPriority w:val="9"/>
    <w:rPr>
      <w:rFonts w:ascii="等线 Light" w:hAnsi="等线 Light" w:eastAsia="等线 Light"/>
      <w:i/>
      <w:iCs/>
      <w:color w:val="1F3864"/>
      <w:sz w:val="22"/>
      <w:szCs w:val="22"/>
    </w:rPr>
  </w:style>
  <w:style w:type="character" w:customStyle="1" w:styleId="200">
    <w:name w:val="标题 8 字符"/>
    <w:link w:val="10"/>
    <w:qFormat/>
    <w:uiPriority w:val="9"/>
    <w:rPr>
      <w:rFonts w:ascii="等线 Light" w:hAnsi="等线 Light" w:eastAsia="等线 Light"/>
      <w:color w:val="252525"/>
      <w:sz w:val="21"/>
      <w:szCs w:val="21"/>
    </w:rPr>
  </w:style>
  <w:style w:type="character" w:customStyle="1" w:styleId="201">
    <w:name w:val="标题 9 字符"/>
    <w:link w:val="11"/>
    <w:qFormat/>
    <w:uiPriority w:val="9"/>
    <w:rPr>
      <w:rFonts w:ascii="等线 Light" w:hAnsi="等线 Light" w:eastAsia="等线 Light"/>
      <w:i/>
      <w:iCs/>
      <w:color w:val="252525"/>
      <w:sz w:val="21"/>
      <w:szCs w:val="21"/>
    </w:rPr>
  </w:style>
  <w:style w:type="paragraph" w:customStyle="1" w:styleId="202">
    <w:name w:val="_Style 92"/>
    <w:basedOn w:val="1"/>
    <w:next w:val="174"/>
    <w:qFormat/>
    <w:uiPriority w:val="34"/>
    <w:pPr>
      <w:widowControl/>
      <w:spacing w:after="160" w:line="259" w:lineRule="auto"/>
      <w:ind w:firstLine="420" w:firstLineChars="200"/>
      <w:jc w:val="left"/>
    </w:pPr>
    <w:rPr>
      <w:rFonts w:ascii="等线" w:hAnsi="等线" w:eastAsia="等线"/>
      <w:kern w:val="0"/>
      <w:sz w:val="22"/>
      <w:szCs w:val="22"/>
    </w:rPr>
  </w:style>
  <w:style w:type="character" w:customStyle="1" w:styleId="203">
    <w:name w:val="注释标题 Char"/>
    <w:basedOn w:val="127"/>
    <w:link w:val="15"/>
    <w:qFormat/>
    <w:uiPriority w:val="0"/>
    <w:rPr>
      <w:rFonts w:ascii="等线" w:hAnsi="等线" w:eastAsia="等线"/>
      <w:sz w:val="22"/>
      <w:szCs w:val="22"/>
    </w:rPr>
  </w:style>
  <w:style w:type="character" w:customStyle="1" w:styleId="204">
    <w:name w:val="电子邮件签名 Char"/>
    <w:basedOn w:val="127"/>
    <w:link w:val="18"/>
    <w:qFormat/>
    <w:uiPriority w:val="0"/>
    <w:rPr>
      <w:rFonts w:ascii="等线" w:hAnsi="等线" w:eastAsia="等线"/>
      <w:sz w:val="22"/>
      <w:szCs w:val="22"/>
    </w:rPr>
  </w:style>
  <w:style w:type="character" w:customStyle="1" w:styleId="205">
    <w:name w:val="文档结构图 Char"/>
    <w:basedOn w:val="127"/>
    <w:link w:val="25"/>
    <w:qFormat/>
    <w:uiPriority w:val="0"/>
    <w:rPr>
      <w:rFonts w:ascii="等线" w:hAnsi="等线" w:eastAsia="等线"/>
      <w:sz w:val="22"/>
      <w:szCs w:val="22"/>
      <w:shd w:val="clear" w:color="auto" w:fill="000080"/>
    </w:rPr>
  </w:style>
  <w:style w:type="character" w:customStyle="1" w:styleId="206">
    <w:name w:val="批注文字 Char"/>
    <w:basedOn w:val="127"/>
    <w:link w:val="27"/>
    <w:qFormat/>
    <w:uiPriority w:val="0"/>
    <w:rPr>
      <w:rFonts w:ascii="等线" w:hAnsi="等线" w:eastAsia="等线"/>
      <w:sz w:val="22"/>
      <w:szCs w:val="22"/>
    </w:rPr>
  </w:style>
  <w:style w:type="character" w:customStyle="1" w:styleId="207">
    <w:name w:val="称呼 Char"/>
    <w:basedOn w:val="127"/>
    <w:link w:val="29"/>
    <w:qFormat/>
    <w:uiPriority w:val="0"/>
    <w:rPr>
      <w:rFonts w:ascii="等线" w:hAnsi="等线" w:eastAsia="等线"/>
      <w:sz w:val="22"/>
      <w:szCs w:val="22"/>
    </w:rPr>
  </w:style>
  <w:style w:type="character" w:customStyle="1" w:styleId="208">
    <w:name w:val="正文文本 3 Char"/>
    <w:basedOn w:val="127"/>
    <w:link w:val="30"/>
    <w:qFormat/>
    <w:uiPriority w:val="0"/>
    <w:rPr>
      <w:rFonts w:ascii="等线" w:hAnsi="等线" w:eastAsia="等线"/>
      <w:sz w:val="16"/>
      <w:szCs w:val="16"/>
    </w:rPr>
  </w:style>
  <w:style w:type="character" w:customStyle="1" w:styleId="209">
    <w:name w:val="结束语 Char"/>
    <w:basedOn w:val="127"/>
    <w:link w:val="31"/>
    <w:qFormat/>
    <w:uiPriority w:val="0"/>
    <w:rPr>
      <w:rFonts w:ascii="等线" w:hAnsi="等线" w:eastAsia="等线"/>
      <w:sz w:val="22"/>
      <w:szCs w:val="22"/>
    </w:rPr>
  </w:style>
  <w:style w:type="character" w:customStyle="1" w:styleId="210">
    <w:name w:val="正文文本 字符"/>
    <w:qFormat/>
    <w:uiPriority w:val="0"/>
    <w:rPr>
      <w:rFonts w:ascii="Arial" w:hAnsi="Arial"/>
      <w:sz w:val="21"/>
      <w:szCs w:val="21"/>
    </w:rPr>
  </w:style>
  <w:style w:type="character" w:customStyle="1" w:styleId="211">
    <w:name w:val="HTML 地址 Char"/>
    <w:basedOn w:val="127"/>
    <w:link w:val="40"/>
    <w:qFormat/>
    <w:uiPriority w:val="0"/>
    <w:rPr>
      <w:rFonts w:ascii="等线" w:hAnsi="等线" w:eastAsia="等线"/>
      <w:i/>
      <w:iCs/>
      <w:sz w:val="22"/>
      <w:szCs w:val="22"/>
    </w:rPr>
  </w:style>
  <w:style w:type="character" w:customStyle="1" w:styleId="212">
    <w:name w:val="尾注文本 Char"/>
    <w:basedOn w:val="127"/>
    <w:link w:val="49"/>
    <w:qFormat/>
    <w:uiPriority w:val="0"/>
    <w:rPr>
      <w:rFonts w:ascii="等线" w:hAnsi="等线" w:eastAsia="等线"/>
      <w:sz w:val="22"/>
      <w:szCs w:val="22"/>
    </w:rPr>
  </w:style>
  <w:style w:type="character" w:customStyle="1" w:styleId="213">
    <w:name w:val="页脚 字符1"/>
    <w:qFormat/>
    <w:uiPriority w:val="0"/>
    <w:rPr>
      <w:rFonts w:ascii="Arial" w:hAnsi="Arial"/>
      <w:sz w:val="15"/>
      <w:szCs w:val="18"/>
    </w:rPr>
  </w:style>
  <w:style w:type="character" w:customStyle="1" w:styleId="214">
    <w:name w:val="页眉 字符"/>
    <w:qFormat/>
    <w:uiPriority w:val="0"/>
    <w:rPr>
      <w:rFonts w:ascii="Arial" w:hAnsi="Arial"/>
      <w:sz w:val="18"/>
      <w:szCs w:val="18"/>
    </w:rPr>
  </w:style>
  <w:style w:type="character" w:customStyle="1" w:styleId="215">
    <w:name w:val="签名 Char"/>
    <w:basedOn w:val="127"/>
    <w:link w:val="55"/>
    <w:qFormat/>
    <w:uiPriority w:val="0"/>
    <w:rPr>
      <w:rFonts w:ascii="等线" w:hAnsi="等线" w:eastAsia="等线"/>
      <w:sz w:val="22"/>
      <w:szCs w:val="22"/>
    </w:rPr>
  </w:style>
  <w:style w:type="character" w:customStyle="1" w:styleId="216">
    <w:name w:val="副标题 Char"/>
    <w:basedOn w:val="127"/>
    <w:link w:val="60"/>
    <w:qFormat/>
    <w:uiPriority w:val="0"/>
    <w:rPr>
      <w:rFonts w:ascii="Cambria" w:hAnsi="Cambria" w:cs="Times New Roman"/>
      <w:b/>
      <w:bCs/>
      <w:kern w:val="28"/>
      <w:sz w:val="32"/>
      <w:szCs w:val="32"/>
    </w:rPr>
  </w:style>
  <w:style w:type="character" w:customStyle="1" w:styleId="217">
    <w:name w:val="副标题 字符"/>
    <w:link w:val="60"/>
    <w:qFormat/>
    <w:uiPriority w:val="11"/>
    <w:rPr>
      <w:rFonts w:ascii="等线" w:hAnsi="等线" w:eastAsia="等线"/>
      <w:color w:val="595959"/>
      <w:spacing w:val="15"/>
      <w:sz w:val="22"/>
      <w:szCs w:val="22"/>
    </w:rPr>
  </w:style>
  <w:style w:type="character" w:customStyle="1" w:styleId="218">
    <w:name w:val="正文文本 2 Char"/>
    <w:basedOn w:val="127"/>
    <w:link w:val="70"/>
    <w:qFormat/>
    <w:uiPriority w:val="0"/>
    <w:rPr>
      <w:rFonts w:ascii="等线" w:hAnsi="等线" w:eastAsia="等线"/>
      <w:sz w:val="22"/>
      <w:szCs w:val="22"/>
    </w:rPr>
  </w:style>
  <w:style w:type="character" w:customStyle="1" w:styleId="219">
    <w:name w:val="信息标题 Char"/>
    <w:basedOn w:val="127"/>
    <w:link w:val="73"/>
    <w:qFormat/>
    <w:uiPriority w:val="0"/>
    <w:rPr>
      <w:rFonts w:ascii="等线" w:hAnsi="等线" w:eastAsia="等线" w:cs="Arial"/>
      <w:sz w:val="24"/>
      <w:szCs w:val="24"/>
      <w:shd w:val="pct20" w:color="auto" w:fill="auto"/>
    </w:rPr>
  </w:style>
  <w:style w:type="character" w:customStyle="1" w:styleId="220">
    <w:name w:val="标题 字符"/>
    <w:qFormat/>
    <w:uiPriority w:val="10"/>
    <w:rPr>
      <w:rFonts w:ascii="等线 Light" w:hAnsi="等线 Light" w:eastAsia="等线 Light" w:cs="Times New Roman"/>
      <w:spacing w:val="-10"/>
      <w:sz w:val="56"/>
      <w:szCs w:val="56"/>
    </w:rPr>
  </w:style>
  <w:style w:type="character" w:customStyle="1" w:styleId="221">
    <w:name w:val="批注主题 Char"/>
    <w:basedOn w:val="206"/>
    <w:link w:val="79"/>
    <w:qFormat/>
    <w:uiPriority w:val="0"/>
    <w:rPr>
      <w:b/>
      <w:bCs/>
    </w:rPr>
  </w:style>
  <w:style w:type="character" w:customStyle="1" w:styleId="222">
    <w:name w:val="正文文本首行缩进 字符"/>
    <w:qFormat/>
    <w:uiPriority w:val="0"/>
    <w:rPr>
      <w:rFonts w:ascii="Arial" w:hAnsi="Arial"/>
      <w:sz w:val="21"/>
      <w:szCs w:val="21"/>
    </w:rPr>
  </w:style>
  <w:style w:type="character" w:customStyle="1" w:styleId="223">
    <w:name w:val="Char Char36"/>
    <w:qFormat/>
    <w:uiPriority w:val="0"/>
    <w:rPr>
      <w:rFonts w:ascii="Arial" w:hAnsi="Arial" w:eastAsia="黑体" w:cs="Times New Roman"/>
      <w:b/>
      <w:sz w:val="32"/>
      <w:szCs w:val="21"/>
    </w:rPr>
  </w:style>
  <w:style w:type="character" w:customStyle="1" w:styleId="224">
    <w:name w:val="Char Char37"/>
    <w:qFormat/>
    <w:uiPriority w:val="0"/>
    <w:rPr>
      <w:rFonts w:ascii="Arial" w:hAnsi="Arial" w:eastAsia="黑体" w:cs="Times New Roman"/>
      <w:b/>
      <w:bCs/>
      <w:kern w:val="44"/>
      <w:sz w:val="44"/>
      <w:szCs w:val="44"/>
    </w:rPr>
  </w:style>
  <w:style w:type="character" w:customStyle="1" w:styleId="225">
    <w:name w:val="Char Char8"/>
    <w:semiHidden/>
    <w:qFormat/>
    <w:uiPriority w:val="0"/>
    <w:rPr>
      <w:rFonts w:ascii="Arial" w:hAnsi="Arial" w:eastAsia="宋体" w:cs="Times New Roman"/>
      <w:kern w:val="0"/>
      <w:szCs w:val="21"/>
    </w:rPr>
  </w:style>
  <w:style w:type="character" w:customStyle="1" w:styleId="226">
    <w:name w:val="Char Char16"/>
    <w:semiHidden/>
    <w:qFormat/>
    <w:uiPriority w:val="0"/>
    <w:rPr>
      <w:rFonts w:ascii="Arial" w:hAnsi="Arial" w:eastAsia="宋体" w:cs="Times New Roman"/>
      <w:i/>
      <w:iCs/>
      <w:kern w:val="0"/>
      <w:szCs w:val="21"/>
    </w:rPr>
  </w:style>
  <w:style w:type="character" w:customStyle="1" w:styleId="227">
    <w:name w:val="Char Char9"/>
    <w:semiHidden/>
    <w:qFormat/>
    <w:uiPriority w:val="0"/>
    <w:rPr>
      <w:rFonts w:ascii="Arial" w:hAnsi="Arial" w:eastAsia="宋体" w:cs="Times New Roman"/>
      <w:kern w:val="0"/>
      <w:szCs w:val="21"/>
    </w:rPr>
  </w:style>
  <w:style w:type="character" w:customStyle="1" w:styleId="228">
    <w:name w:val="Char Char34"/>
    <w:qFormat/>
    <w:uiPriority w:val="0"/>
    <w:rPr>
      <w:rFonts w:ascii="Arial" w:hAnsi="Arial" w:eastAsia="黑体" w:cs="Times New Roman"/>
      <w:b/>
      <w:bCs/>
      <w:kern w:val="0"/>
      <w:sz w:val="28"/>
      <w:szCs w:val="28"/>
    </w:rPr>
  </w:style>
  <w:style w:type="character" w:customStyle="1" w:styleId="229">
    <w:name w:val="页脚右端（绿盟科技） Char"/>
    <w:link w:val="230"/>
    <w:qFormat/>
    <w:uiPriority w:val="0"/>
    <w:rPr>
      <w:rFonts w:ascii="Arial" w:hAnsi="Arial"/>
      <w:b/>
      <w:sz w:val="18"/>
      <w:szCs w:val="18"/>
    </w:rPr>
  </w:style>
  <w:style w:type="paragraph" w:customStyle="1" w:styleId="230">
    <w:name w:val="页脚右端（绿盟科技）"/>
    <w:basedOn w:val="231"/>
    <w:link w:val="229"/>
    <w:qFormat/>
    <w:uiPriority w:val="0"/>
    <w:pPr>
      <w:tabs>
        <w:tab w:val="center" w:pos="4153"/>
        <w:tab w:val="right" w:pos="8306"/>
      </w:tabs>
      <w:jc w:val="right"/>
    </w:pPr>
    <w:rPr>
      <w:rFonts w:ascii="Arial" w:hAnsi="Arial" w:eastAsia="宋体"/>
    </w:rPr>
  </w:style>
  <w:style w:type="paragraph" w:customStyle="1" w:styleId="231">
    <w:name w:val="页脚左端（绿盟科技）"/>
    <w:basedOn w:val="1"/>
    <w:qFormat/>
    <w:uiPriority w:val="0"/>
    <w:pPr>
      <w:widowControl/>
      <w:pBdr>
        <w:top w:val="single" w:color="auto" w:sz="4" w:space="4"/>
      </w:pBdr>
      <w:tabs>
        <w:tab w:val="center" w:pos="4153"/>
        <w:tab w:val="right" w:pos="8306"/>
      </w:tabs>
      <w:snapToGrid w:val="0"/>
      <w:spacing w:before="100" w:beforeAutospacing="1" w:after="160"/>
      <w:jc w:val="left"/>
    </w:pPr>
    <w:rPr>
      <w:rFonts w:ascii="等线" w:hAnsi="等线" w:eastAsia="等线"/>
      <w:b/>
      <w:kern w:val="0"/>
      <w:sz w:val="18"/>
      <w:szCs w:val="18"/>
    </w:rPr>
  </w:style>
  <w:style w:type="character" w:customStyle="1" w:styleId="232">
    <w:name w:val="Char Char"/>
    <w:semiHidden/>
    <w:qFormat/>
    <w:uiPriority w:val="0"/>
    <w:rPr>
      <w:rFonts w:ascii="Arial" w:hAnsi="Arial" w:eastAsia="宋体" w:cs="Times New Roman"/>
      <w:kern w:val="0"/>
      <w:szCs w:val="21"/>
    </w:rPr>
  </w:style>
  <w:style w:type="character" w:customStyle="1" w:styleId="233">
    <w:name w:val="Char Char24"/>
    <w:qFormat/>
    <w:uiPriority w:val="0"/>
    <w:rPr>
      <w:rFonts w:ascii="Arial" w:hAnsi="Arial" w:eastAsia="黑体" w:cs="Arial"/>
      <w:b/>
      <w:bCs/>
      <w:kern w:val="0"/>
      <w:sz w:val="52"/>
      <w:szCs w:val="32"/>
    </w:rPr>
  </w:style>
  <w:style w:type="character" w:customStyle="1" w:styleId="234">
    <w:name w:val="Char Char19"/>
    <w:semiHidden/>
    <w:qFormat/>
    <w:uiPriority w:val="0"/>
    <w:rPr>
      <w:rFonts w:ascii="Courier New" w:hAnsi="Courier New" w:eastAsia="宋体" w:cs="Cambria"/>
      <w:kern w:val="0"/>
      <w:sz w:val="24"/>
      <w:szCs w:val="24"/>
    </w:rPr>
  </w:style>
  <w:style w:type="character" w:customStyle="1" w:styleId="235">
    <w:name w:val="Char Char20"/>
    <w:semiHidden/>
    <w:qFormat/>
    <w:uiPriority w:val="0"/>
    <w:rPr>
      <w:rFonts w:ascii="Arial" w:hAnsi="Arial" w:eastAsia="宋体" w:cs="Times New Roman"/>
      <w:kern w:val="0"/>
      <w:szCs w:val="21"/>
    </w:rPr>
  </w:style>
  <w:style w:type="character" w:customStyle="1" w:styleId="236">
    <w:name w:val="引用 字符"/>
    <w:qFormat/>
    <w:uiPriority w:val="29"/>
    <w:rPr>
      <w:i/>
      <w:iCs/>
      <w:color w:val="3F3F3F"/>
    </w:rPr>
  </w:style>
  <w:style w:type="paragraph" w:styleId="237">
    <w:name w:val="Quote"/>
    <w:basedOn w:val="1"/>
    <w:next w:val="1"/>
    <w:link w:val="238"/>
    <w:qFormat/>
    <w:uiPriority w:val="29"/>
    <w:pPr>
      <w:widowControl/>
      <w:spacing w:before="200" w:after="160" w:line="259" w:lineRule="auto"/>
      <w:ind w:left="864" w:right="864"/>
      <w:jc w:val="left"/>
    </w:pPr>
    <w:rPr>
      <w:rFonts w:eastAsia="宋体"/>
      <w:i/>
      <w:iCs/>
      <w:color w:val="3F3F3F"/>
      <w:kern w:val="0"/>
      <w:sz w:val="20"/>
    </w:rPr>
  </w:style>
  <w:style w:type="character" w:customStyle="1" w:styleId="238">
    <w:name w:val="引用 Char"/>
    <w:basedOn w:val="127"/>
    <w:link w:val="237"/>
    <w:qFormat/>
    <w:uiPriority w:val="0"/>
    <w:rPr>
      <w:rFonts w:eastAsia="仿宋_GB2312"/>
      <w:i/>
      <w:iCs/>
      <w:color w:val="000000"/>
      <w:kern w:val="2"/>
      <w:sz w:val="32"/>
    </w:rPr>
  </w:style>
  <w:style w:type="character" w:customStyle="1" w:styleId="239">
    <w:name w:val="Char Char23"/>
    <w:semiHidden/>
    <w:qFormat/>
    <w:uiPriority w:val="0"/>
    <w:rPr>
      <w:rFonts w:ascii="Arial" w:hAnsi="Arial" w:eastAsia="宋体" w:cs="Times New Roman"/>
      <w:kern w:val="0"/>
      <w:szCs w:val="21"/>
    </w:rPr>
  </w:style>
  <w:style w:type="character" w:customStyle="1" w:styleId="240">
    <w:name w:val="Char Char2"/>
    <w:semiHidden/>
    <w:qFormat/>
    <w:uiPriority w:val="0"/>
    <w:rPr>
      <w:rFonts w:ascii="Arial" w:hAnsi="Arial" w:eastAsia="宋体" w:cs="Times New Roman"/>
      <w:kern w:val="0"/>
      <w:szCs w:val="21"/>
    </w:rPr>
  </w:style>
  <w:style w:type="character" w:customStyle="1" w:styleId="241">
    <w:name w:val="目录格式"/>
    <w:semiHidden/>
    <w:qFormat/>
    <w:locked/>
    <w:uiPriority w:val="0"/>
    <w:rPr>
      <w:rFonts w:ascii="Arial" w:hAnsi="Arial" w:eastAsia="黑体"/>
      <w:b/>
      <w:bCs/>
      <w:sz w:val="44"/>
      <w:szCs w:val="44"/>
    </w:rPr>
  </w:style>
  <w:style w:type="character" w:customStyle="1" w:styleId="242">
    <w:name w:val="Char Char15"/>
    <w:semiHidden/>
    <w:qFormat/>
    <w:uiPriority w:val="0"/>
    <w:rPr>
      <w:rFonts w:ascii="Courier New" w:hAnsi="Courier New" w:eastAsia="宋体" w:cs="Cambria"/>
      <w:kern w:val="0"/>
      <w:sz w:val="20"/>
      <w:szCs w:val="20"/>
    </w:rPr>
  </w:style>
  <w:style w:type="character" w:customStyle="1" w:styleId="243">
    <w:name w:val="Intense Reference"/>
    <w:qFormat/>
    <w:uiPriority w:val="32"/>
    <w:rPr>
      <w:b/>
      <w:bCs/>
      <w:smallCaps/>
      <w:color w:val="4472C4"/>
      <w:spacing w:val="5"/>
    </w:rPr>
  </w:style>
  <w:style w:type="character" w:customStyle="1" w:styleId="244">
    <w:name w:val="Char Char21"/>
    <w:semiHidden/>
    <w:qFormat/>
    <w:uiPriority w:val="0"/>
    <w:rPr>
      <w:rFonts w:ascii="Arial" w:hAnsi="Arial" w:eastAsia="宋体" w:cs="Times New Roman"/>
      <w:kern w:val="0"/>
      <w:szCs w:val="21"/>
    </w:rPr>
  </w:style>
  <w:style w:type="character" w:customStyle="1" w:styleId="245">
    <w:name w:val="Char Char13"/>
    <w:qFormat/>
    <w:uiPriority w:val="0"/>
    <w:rPr>
      <w:rFonts w:ascii="宋体" w:hAnsi="Courier New" w:eastAsia="宋体" w:cs="Cambria"/>
      <w:kern w:val="0"/>
      <w:szCs w:val="21"/>
    </w:rPr>
  </w:style>
  <w:style w:type="character" w:customStyle="1" w:styleId="246">
    <w:name w:val="Char Char27"/>
    <w:qFormat/>
    <w:uiPriority w:val="0"/>
    <w:rPr>
      <w:rFonts w:ascii="Arial" w:hAnsi="Arial" w:eastAsia="宋体" w:cs="Times New Roman"/>
      <w:kern w:val="0"/>
      <w:sz w:val="15"/>
      <w:szCs w:val="18"/>
    </w:rPr>
  </w:style>
  <w:style w:type="character" w:customStyle="1" w:styleId="247">
    <w:name w:val="Intense Emphasis"/>
    <w:qFormat/>
    <w:uiPriority w:val="21"/>
    <w:rPr>
      <w:i/>
      <w:iCs/>
      <w:color w:val="4472C4"/>
    </w:rPr>
  </w:style>
  <w:style w:type="character" w:customStyle="1" w:styleId="248">
    <w:name w:val="Char Char18"/>
    <w:semiHidden/>
    <w:qFormat/>
    <w:uiPriority w:val="0"/>
    <w:rPr>
      <w:rFonts w:ascii="Arial" w:hAnsi="Arial" w:eastAsia="宋体" w:cs="Times New Roman"/>
      <w:kern w:val="0"/>
      <w:sz w:val="18"/>
      <w:szCs w:val="18"/>
    </w:rPr>
  </w:style>
  <w:style w:type="character" w:customStyle="1" w:styleId="249">
    <w:name w:val="Char Char35"/>
    <w:qFormat/>
    <w:uiPriority w:val="0"/>
    <w:rPr>
      <w:rFonts w:ascii="Arial" w:hAnsi="Arial" w:eastAsia="黑体" w:cs="Times New Roman"/>
      <w:b/>
      <w:bCs/>
      <w:kern w:val="0"/>
      <w:sz w:val="30"/>
      <w:szCs w:val="32"/>
    </w:rPr>
  </w:style>
  <w:style w:type="character" w:customStyle="1" w:styleId="250">
    <w:name w:val="Char Char30"/>
    <w:qFormat/>
    <w:uiPriority w:val="0"/>
    <w:rPr>
      <w:rFonts w:ascii="Arial" w:hAnsi="Arial" w:eastAsia="黑体" w:cs="Times New Roman"/>
      <w:kern w:val="0"/>
      <w:szCs w:val="24"/>
    </w:rPr>
  </w:style>
  <w:style w:type="character" w:customStyle="1" w:styleId="251">
    <w:name w:val="Char Char33"/>
    <w:qFormat/>
    <w:uiPriority w:val="0"/>
    <w:rPr>
      <w:rFonts w:ascii="Arial" w:hAnsi="Arial" w:eastAsia="黑体" w:cs="Times New Roman"/>
      <w:b/>
      <w:bCs/>
      <w:kern w:val="0"/>
      <w:sz w:val="24"/>
      <w:szCs w:val="28"/>
    </w:rPr>
  </w:style>
  <w:style w:type="character" w:customStyle="1" w:styleId="252">
    <w:name w:val="文本字符强调（绿盟科技）"/>
    <w:qFormat/>
    <w:uiPriority w:val="0"/>
    <w:rPr>
      <w:rFonts w:ascii="Arial" w:hAnsi="Arial" w:eastAsia="宋体"/>
      <w:b/>
      <w:color w:val="auto"/>
      <w:sz w:val="21"/>
      <w:u w:val="single"/>
    </w:rPr>
  </w:style>
  <w:style w:type="character" w:customStyle="1" w:styleId="253">
    <w:name w:val="变更与声明加粗（绿盟科技） Char Char"/>
    <w:link w:val="254"/>
    <w:qFormat/>
    <w:uiPriority w:val="0"/>
    <w:rPr>
      <w:rFonts w:ascii="Arial" w:hAnsi="Arial"/>
      <w:b/>
      <w:sz w:val="18"/>
      <w:szCs w:val="21"/>
    </w:rPr>
  </w:style>
  <w:style w:type="paragraph" w:customStyle="1" w:styleId="254">
    <w:name w:val="变更与声明加粗（绿盟科技）"/>
    <w:basedOn w:val="255"/>
    <w:link w:val="253"/>
    <w:qFormat/>
    <w:uiPriority w:val="0"/>
    <w:pPr>
      <w:ind w:left="50" w:leftChars="50" w:right="50" w:rightChars="50"/>
    </w:pPr>
    <w:rPr>
      <w:rFonts w:eastAsia="宋体"/>
      <w:b/>
      <w:sz w:val="18"/>
    </w:rPr>
  </w:style>
  <w:style w:type="paragraph" w:customStyle="1" w:styleId="255">
    <w:name w:val="正文（绿盟科技）"/>
    <w:qFormat/>
    <w:uiPriority w:val="0"/>
    <w:pPr>
      <w:spacing w:after="160" w:line="300" w:lineRule="auto"/>
    </w:pPr>
    <w:rPr>
      <w:rFonts w:ascii="Arial" w:hAnsi="Arial" w:eastAsia="等线" w:cs="Times New Roman"/>
      <w:sz w:val="21"/>
      <w:szCs w:val="21"/>
      <w:lang w:val="en-US" w:eastAsia="zh-CN" w:bidi="ar-SA"/>
    </w:rPr>
  </w:style>
  <w:style w:type="character" w:customStyle="1" w:styleId="256">
    <w:name w:val="Char Char10"/>
    <w:semiHidden/>
    <w:qFormat/>
    <w:uiPriority w:val="0"/>
    <w:rPr>
      <w:rFonts w:ascii="Arial" w:hAnsi="Arial" w:eastAsia="宋体" w:cs="Times New Roman"/>
      <w:kern w:val="0"/>
      <w:szCs w:val="21"/>
    </w:rPr>
  </w:style>
  <w:style w:type="character" w:customStyle="1" w:styleId="257">
    <w:name w:val="Book Title"/>
    <w:qFormat/>
    <w:uiPriority w:val="33"/>
    <w:rPr>
      <w:b/>
      <w:bCs/>
      <w:i/>
      <w:iCs/>
      <w:spacing w:val="5"/>
    </w:rPr>
  </w:style>
  <w:style w:type="character" w:customStyle="1" w:styleId="258">
    <w:name w:val="Char Char6"/>
    <w:semiHidden/>
    <w:qFormat/>
    <w:uiPriority w:val="0"/>
    <w:rPr>
      <w:rFonts w:ascii="Arial" w:hAnsi="Arial" w:eastAsia="宋体" w:cs="Times New Roman"/>
      <w:kern w:val="0"/>
      <w:szCs w:val="21"/>
    </w:rPr>
  </w:style>
  <w:style w:type="character" w:customStyle="1" w:styleId="259">
    <w:name w:val="页脚 字符"/>
    <w:qFormat/>
    <w:uiPriority w:val="99"/>
    <w:rPr>
      <w:rFonts w:eastAsia="宋体"/>
      <w:kern w:val="2"/>
      <w:sz w:val="18"/>
      <w:szCs w:val="18"/>
      <w:lang w:val="en-US" w:eastAsia="zh-CN" w:bidi="ar-SA"/>
    </w:rPr>
  </w:style>
  <w:style w:type="character" w:customStyle="1" w:styleId="260">
    <w:name w:val="Char Char17"/>
    <w:semiHidden/>
    <w:qFormat/>
    <w:uiPriority w:val="0"/>
    <w:rPr>
      <w:rFonts w:ascii="Arial" w:hAnsi="Arial" w:eastAsia="宋体" w:cs="Times New Roman"/>
      <w:kern w:val="0"/>
      <w:szCs w:val="21"/>
    </w:rPr>
  </w:style>
  <w:style w:type="character" w:customStyle="1" w:styleId="261">
    <w:name w:val="页脚密级（绿盟科技） Char"/>
    <w:link w:val="262"/>
    <w:qFormat/>
    <w:uiPriority w:val="0"/>
    <w:rPr>
      <w:rFonts w:ascii="Arial" w:hAnsi="Arial"/>
      <w:b/>
      <w:color w:val="FF0000"/>
      <w:sz w:val="18"/>
      <w:szCs w:val="18"/>
    </w:rPr>
  </w:style>
  <w:style w:type="paragraph" w:customStyle="1" w:styleId="262">
    <w:name w:val="页脚密级（绿盟科技）"/>
    <w:basedOn w:val="230"/>
    <w:link w:val="261"/>
    <w:qFormat/>
    <w:uiPriority w:val="0"/>
    <w:rPr>
      <w:color w:val="FF0000"/>
    </w:rPr>
  </w:style>
  <w:style w:type="character" w:customStyle="1" w:styleId="263">
    <w:name w:val="Char Char22"/>
    <w:semiHidden/>
    <w:qFormat/>
    <w:uiPriority w:val="0"/>
    <w:rPr>
      <w:rFonts w:ascii="Arial" w:hAnsi="Arial" w:eastAsia="宋体" w:cs="Times New Roman"/>
      <w:b/>
      <w:bCs/>
      <w:kern w:val="0"/>
      <w:szCs w:val="21"/>
    </w:rPr>
  </w:style>
  <w:style w:type="character" w:customStyle="1" w:styleId="264">
    <w:name w:val="Char Char1"/>
    <w:semiHidden/>
    <w:qFormat/>
    <w:uiPriority w:val="0"/>
    <w:rPr>
      <w:rFonts w:ascii="Arial" w:hAnsi="Arial" w:eastAsia="宋体" w:cs="Times New Roman"/>
      <w:kern w:val="0"/>
      <w:sz w:val="16"/>
      <w:szCs w:val="16"/>
    </w:rPr>
  </w:style>
  <w:style w:type="character" w:customStyle="1" w:styleId="265">
    <w:name w:val="Char Char14"/>
    <w:semiHidden/>
    <w:qFormat/>
    <w:uiPriority w:val="0"/>
    <w:rPr>
      <w:rFonts w:ascii="Arial" w:hAnsi="Arial" w:eastAsia="宋体" w:cs="Times New Roman"/>
      <w:kern w:val="0"/>
      <w:szCs w:val="21"/>
    </w:rPr>
  </w:style>
  <w:style w:type="character" w:customStyle="1" w:styleId="266">
    <w:name w:val="Char Char7"/>
    <w:semiHidden/>
    <w:qFormat/>
    <w:uiPriority w:val="0"/>
    <w:rPr>
      <w:rFonts w:ascii="Arial" w:hAnsi="Arial" w:eastAsia="宋体" w:cs="Arial"/>
      <w:kern w:val="0"/>
      <w:sz w:val="24"/>
      <w:szCs w:val="24"/>
      <w:shd w:val="pct20" w:color="auto" w:fill="auto"/>
    </w:rPr>
  </w:style>
  <w:style w:type="character" w:customStyle="1" w:styleId="267">
    <w:name w:val="Char Char28"/>
    <w:qFormat/>
    <w:uiPriority w:val="0"/>
    <w:rPr>
      <w:rFonts w:ascii="Arial" w:hAnsi="Arial" w:eastAsia="宋体" w:cs="Times New Roman"/>
      <w:kern w:val="0"/>
      <w:sz w:val="18"/>
      <w:szCs w:val="18"/>
    </w:rPr>
  </w:style>
  <w:style w:type="character" w:styleId="268">
    <w:name w:val="Placeholder Text"/>
    <w:semiHidden/>
    <w:qFormat/>
    <w:uiPriority w:val="0"/>
    <w:rPr>
      <w:color w:val="808080"/>
    </w:rPr>
  </w:style>
  <w:style w:type="character" w:customStyle="1" w:styleId="269">
    <w:name w:val="页眉右端（绿盟科技） Char"/>
    <w:link w:val="270"/>
    <w:qFormat/>
    <w:uiPriority w:val="0"/>
    <w:rPr>
      <w:rFonts w:ascii="Arial" w:hAnsi="Arial"/>
      <w:b/>
      <w:color w:val="FFFFFF"/>
      <w:sz w:val="18"/>
      <w:szCs w:val="18"/>
    </w:rPr>
  </w:style>
  <w:style w:type="paragraph" w:customStyle="1" w:styleId="270">
    <w:name w:val="页眉右端（绿盟科技）"/>
    <w:basedOn w:val="54"/>
    <w:link w:val="269"/>
    <w:qFormat/>
    <w:uiPriority w:val="0"/>
    <w:pPr>
      <w:widowControl/>
      <w:pBdr>
        <w:bottom w:val="single" w:color="auto" w:sz="4" w:space="9"/>
      </w:pBdr>
      <w:spacing w:before="160" w:after="160"/>
      <w:jc w:val="right"/>
    </w:pPr>
    <w:rPr>
      <w:rFonts w:ascii="Arial" w:hAnsi="Arial" w:eastAsia="宋体"/>
      <w:b/>
      <w:color w:val="FFFFFF"/>
      <w:kern w:val="0"/>
      <w:szCs w:val="18"/>
    </w:rPr>
  </w:style>
  <w:style w:type="character" w:customStyle="1" w:styleId="271">
    <w:name w:val="Char Char4"/>
    <w:semiHidden/>
    <w:qFormat/>
    <w:uiPriority w:val="0"/>
    <w:rPr>
      <w:rFonts w:ascii="Arial" w:hAnsi="Arial" w:eastAsia="宋体" w:cs="Times New Roman"/>
      <w:kern w:val="0"/>
      <w:szCs w:val="21"/>
    </w:rPr>
  </w:style>
  <w:style w:type="character" w:customStyle="1" w:styleId="272">
    <w:name w:val="Char Char12"/>
    <w:semiHidden/>
    <w:qFormat/>
    <w:uiPriority w:val="0"/>
    <w:rPr>
      <w:rFonts w:ascii="Arial" w:hAnsi="Arial" w:eastAsia="宋体" w:cs="Times New Roman"/>
      <w:kern w:val="0"/>
      <w:szCs w:val="21"/>
    </w:rPr>
  </w:style>
  <w:style w:type="character" w:customStyle="1" w:styleId="273">
    <w:name w:val="Char Char11"/>
    <w:qFormat/>
    <w:uiPriority w:val="0"/>
    <w:rPr>
      <w:rFonts w:ascii="Arial" w:hAnsi="Arial" w:eastAsia="宋体" w:cs="Arial"/>
      <w:b/>
      <w:bCs/>
      <w:kern w:val="28"/>
      <w:sz w:val="32"/>
      <w:szCs w:val="32"/>
    </w:rPr>
  </w:style>
  <w:style w:type="character" w:customStyle="1" w:styleId="274">
    <w:name w:val="Subtle Emphasis"/>
    <w:qFormat/>
    <w:uiPriority w:val="19"/>
    <w:rPr>
      <w:i/>
      <w:iCs/>
      <w:color w:val="3F3F3F"/>
    </w:rPr>
  </w:style>
  <w:style w:type="character" w:customStyle="1" w:styleId="275">
    <w:name w:val="Subtle Reference"/>
    <w:qFormat/>
    <w:uiPriority w:val="31"/>
    <w:rPr>
      <w:smallCaps/>
      <w:color w:val="3F3F3F"/>
    </w:rPr>
  </w:style>
  <w:style w:type="character" w:customStyle="1" w:styleId="276">
    <w:name w:val="明显引用 字符"/>
    <w:qFormat/>
    <w:uiPriority w:val="30"/>
    <w:rPr>
      <w:i/>
      <w:iCs/>
      <w:color w:val="4472C4"/>
    </w:rPr>
  </w:style>
  <w:style w:type="paragraph" w:styleId="277">
    <w:name w:val="Intense Quote"/>
    <w:basedOn w:val="1"/>
    <w:next w:val="1"/>
    <w:link w:val="278"/>
    <w:qFormat/>
    <w:uiPriority w:val="30"/>
    <w:pPr>
      <w:widowControl/>
      <w:pBdr>
        <w:top w:val="single" w:color="4472C4" w:sz="4" w:space="10"/>
        <w:bottom w:val="single" w:color="4472C4" w:sz="4" w:space="10"/>
      </w:pBdr>
      <w:spacing w:before="360" w:after="360" w:line="259" w:lineRule="auto"/>
      <w:ind w:left="864" w:right="864"/>
      <w:jc w:val="center"/>
    </w:pPr>
    <w:rPr>
      <w:rFonts w:eastAsia="宋体"/>
      <w:i/>
      <w:iCs/>
      <w:color w:val="4472C4"/>
      <w:kern w:val="0"/>
      <w:sz w:val="20"/>
    </w:rPr>
  </w:style>
  <w:style w:type="character" w:customStyle="1" w:styleId="278">
    <w:name w:val="明显引用 Char"/>
    <w:basedOn w:val="127"/>
    <w:link w:val="277"/>
    <w:qFormat/>
    <w:uiPriority w:val="99"/>
    <w:rPr>
      <w:rFonts w:eastAsia="仿宋_GB2312"/>
      <w:b/>
      <w:bCs/>
      <w:i/>
      <w:iCs/>
      <w:color w:val="4F81BD"/>
      <w:kern w:val="2"/>
      <w:sz w:val="32"/>
    </w:rPr>
  </w:style>
  <w:style w:type="character" w:customStyle="1" w:styleId="279">
    <w:name w:val="Char Char3"/>
    <w:semiHidden/>
    <w:qFormat/>
    <w:uiPriority w:val="0"/>
    <w:rPr>
      <w:rFonts w:ascii="Arial" w:hAnsi="Arial" w:eastAsia="宋体" w:cs="Times New Roman"/>
      <w:kern w:val="0"/>
      <w:sz w:val="16"/>
      <w:szCs w:val="16"/>
    </w:rPr>
  </w:style>
  <w:style w:type="character" w:customStyle="1" w:styleId="280">
    <w:name w:val="Char Char5"/>
    <w:semiHidden/>
    <w:qFormat/>
    <w:uiPriority w:val="0"/>
    <w:rPr>
      <w:rFonts w:ascii="Arial" w:hAnsi="Arial" w:eastAsia="宋体" w:cs="Times New Roman"/>
      <w:kern w:val="0"/>
      <w:szCs w:val="21"/>
    </w:rPr>
  </w:style>
  <w:style w:type="character" w:customStyle="1" w:styleId="281">
    <w:name w:val="Char Char32"/>
    <w:qFormat/>
    <w:uiPriority w:val="0"/>
    <w:rPr>
      <w:rFonts w:ascii="Arial" w:hAnsi="Arial" w:eastAsia="黑体" w:cs="Times New Roman"/>
      <w:b/>
      <w:bCs/>
      <w:kern w:val="0"/>
      <w:szCs w:val="24"/>
    </w:rPr>
  </w:style>
  <w:style w:type="character" w:customStyle="1" w:styleId="282">
    <w:name w:val="Char Char25"/>
    <w:semiHidden/>
    <w:qFormat/>
    <w:uiPriority w:val="0"/>
    <w:rPr>
      <w:rFonts w:ascii="Arial" w:hAnsi="Arial" w:eastAsia="宋体" w:cs="Times New Roman"/>
      <w:kern w:val="0"/>
      <w:szCs w:val="21"/>
      <w:shd w:val="clear" w:color="auto" w:fill="000080"/>
    </w:rPr>
  </w:style>
  <w:style w:type="character" w:customStyle="1" w:styleId="283">
    <w:name w:val="Char Char26"/>
    <w:semiHidden/>
    <w:qFormat/>
    <w:uiPriority w:val="0"/>
    <w:rPr>
      <w:rFonts w:ascii="Arial" w:hAnsi="Arial" w:eastAsia="宋体" w:cs="Times New Roman"/>
      <w:kern w:val="0"/>
      <w:sz w:val="18"/>
      <w:szCs w:val="18"/>
    </w:rPr>
  </w:style>
  <w:style w:type="character" w:customStyle="1" w:styleId="284">
    <w:name w:val="Char Char29"/>
    <w:qFormat/>
    <w:uiPriority w:val="0"/>
    <w:rPr>
      <w:rFonts w:ascii="Arial" w:hAnsi="Arial" w:eastAsia="黑体" w:cs="Times New Roman"/>
      <w:kern w:val="0"/>
      <w:sz w:val="15"/>
      <w:szCs w:val="21"/>
    </w:rPr>
  </w:style>
  <w:style w:type="character" w:customStyle="1" w:styleId="285">
    <w:name w:val="Char Char31"/>
    <w:qFormat/>
    <w:uiPriority w:val="0"/>
    <w:rPr>
      <w:rFonts w:ascii="Arial" w:hAnsi="Arial" w:eastAsia="黑体" w:cs="Times New Roman"/>
      <w:b/>
      <w:bCs/>
      <w:kern w:val="0"/>
      <w:szCs w:val="24"/>
    </w:rPr>
  </w:style>
  <w:style w:type="paragraph" w:customStyle="1" w:styleId="286">
    <w:name w:val="插图（绿盟科技）"/>
    <w:next w:val="255"/>
    <w:qFormat/>
    <w:uiPriority w:val="0"/>
    <w:pPr>
      <w:spacing w:beforeLines="25" w:after="160" w:afterLines="25" w:line="259" w:lineRule="auto"/>
      <w:jc w:val="center"/>
    </w:pPr>
    <w:rPr>
      <w:rFonts w:ascii="Arial" w:hAnsi="Arial" w:eastAsia="等线" w:cs="Times New Roman"/>
      <w:sz w:val="21"/>
      <w:szCs w:val="21"/>
      <w:lang w:val="en-US" w:eastAsia="zh-CN" w:bidi="ar-SA"/>
    </w:rPr>
  </w:style>
  <w:style w:type="paragraph" w:customStyle="1" w:styleId="287">
    <w:name w:val="表格标注（绿盟科技）"/>
    <w:basedOn w:val="288"/>
    <w:next w:val="255"/>
    <w:qFormat/>
    <w:uiPriority w:val="0"/>
  </w:style>
  <w:style w:type="paragraph" w:customStyle="1" w:styleId="288">
    <w:name w:val="插图标注（绿盟科技）"/>
    <w:next w:val="255"/>
    <w:qFormat/>
    <w:uiPriority w:val="0"/>
    <w:pPr>
      <w:spacing w:after="156" w:line="259" w:lineRule="auto"/>
      <w:jc w:val="center"/>
    </w:pPr>
    <w:rPr>
      <w:rFonts w:ascii="Arial" w:hAnsi="Arial" w:eastAsia="等线" w:cs="Arial"/>
      <w:sz w:val="21"/>
      <w:szCs w:val="21"/>
      <w:lang w:val="en-US" w:eastAsia="zh-CN" w:bidi="ar-SA"/>
    </w:rPr>
  </w:style>
  <w:style w:type="paragraph" w:customStyle="1" w:styleId="289">
    <w:name w:val="二级条标题"/>
    <w:basedOn w:val="290"/>
    <w:next w:val="1"/>
    <w:qFormat/>
    <w:uiPriority w:val="0"/>
    <w:pPr>
      <w:outlineLvl w:val="3"/>
    </w:pPr>
  </w:style>
  <w:style w:type="paragraph" w:customStyle="1" w:styleId="290">
    <w:name w:val="一级条标题"/>
    <w:next w:val="1"/>
    <w:qFormat/>
    <w:uiPriority w:val="0"/>
    <w:pPr>
      <w:spacing w:after="160" w:line="259" w:lineRule="auto"/>
      <w:outlineLvl w:val="2"/>
    </w:pPr>
    <w:rPr>
      <w:rFonts w:ascii="Times New Roman" w:hAnsi="Times New Roman" w:eastAsia="黑体" w:cs="Times New Roman"/>
      <w:sz w:val="21"/>
      <w:szCs w:val="22"/>
      <w:lang w:val="en-US" w:eastAsia="zh-CN" w:bidi="ar-SA"/>
    </w:rPr>
  </w:style>
  <w:style w:type="paragraph" w:customStyle="1" w:styleId="291">
    <w:name w:val="列表（符号一级）（绿盟科技）"/>
    <w:basedOn w:val="255"/>
    <w:qFormat/>
    <w:uiPriority w:val="0"/>
    <w:pPr>
      <w:numPr>
        <w:ilvl w:val="0"/>
        <w:numId w:val="11"/>
      </w:numPr>
      <w:ind w:left="840"/>
    </w:pPr>
  </w:style>
  <w:style w:type="paragraph" w:customStyle="1" w:styleId="292">
    <w:name w:val="正文首行缩进（绿盟科技）"/>
    <w:basedOn w:val="255"/>
    <w:qFormat/>
    <w:uiPriority w:val="0"/>
    <w:pPr>
      <w:spacing w:after="50"/>
      <w:ind w:firstLine="200" w:firstLineChars="200"/>
    </w:pPr>
  </w:style>
  <w:style w:type="paragraph" w:customStyle="1" w:styleId="293">
    <w:name w:val="样式 绿盟科技--列表（符号一级） + 段后: 7.8 磅"/>
    <w:basedOn w:val="291"/>
    <w:semiHidden/>
    <w:qFormat/>
    <w:uiPriority w:val="0"/>
    <w:pPr>
      <w:spacing w:beforeLines="25"/>
    </w:pPr>
    <w:rPr>
      <w:rFonts w:cs="宋体"/>
      <w:szCs w:val="20"/>
    </w:rPr>
  </w:style>
  <w:style w:type="paragraph" w:customStyle="1" w:styleId="294">
    <w:name w:val="样式 绿盟科技--列表（编号二级） + 段后: 0.5 行"/>
    <w:basedOn w:val="295"/>
    <w:semiHidden/>
    <w:qFormat/>
    <w:uiPriority w:val="0"/>
    <w:pPr>
      <w:tabs>
        <w:tab w:val="left" w:pos="1620"/>
      </w:tabs>
    </w:pPr>
    <w:rPr>
      <w:rFonts w:cs="宋体"/>
      <w:szCs w:val="20"/>
    </w:rPr>
  </w:style>
  <w:style w:type="paragraph" w:customStyle="1" w:styleId="295">
    <w:name w:val="列表（编号二级）（绿盟科技）"/>
    <w:basedOn w:val="296"/>
    <w:qFormat/>
    <w:uiPriority w:val="0"/>
    <w:pPr>
      <w:numPr>
        <w:ilvl w:val="1"/>
        <w:numId w:val="12"/>
      </w:numPr>
      <w:tabs>
        <w:tab w:val="left" w:pos="1620"/>
      </w:tabs>
      <w:ind w:left="1260"/>
    </w:pPr>
  </w:style>
  <w:style w:type="paragraph" w:customStyle="1" w:styleId="296">
    <w:name w:val="列表（编号一级）（绿盟科技）"/>
    <w:basedOn w:val="255"/>
    <w:qFormat/>
    <w:uiPriority w:val="0"/>
    <w:pPr>
      <w:numPr>
        <w:ilvl w:val="0"/>
        <w:numId w:val="12"/>
      </w:numPr>
      <w:ind w:left="840"/>
    </w:pPr>
  </w:style>
  <w:style w:type="paragraph" w:customStyle="1" w:styleId="297">
    <w:name w:val="封面标题"/>
    <w:basedOn w:val="1"/>
    <w:qFormat/>
    <w:uiPriority w:val="0"/>
    <w:pPr>
      <w:widowControl/>
      <w:spacing w:after="160" w:line="288" w:lineRule="auto"/>
      <w:jc w:val="center"/>
    </w:pPr>
    <w:rPr>
      <w:rFonts w:ascii="等线" w:hAnsi="等线" w:eastAsia="黑体" w:cs="仿宋_GB2312"/>
      <w:kern w:val="0"/>
      <w:sz w:val="52"/>
    </w:rPr>
  </w:style>
  <w:style w:type="paragraph" w:customStyle="1" w:styleId="298">
    <w:name w:val="文本段落引用（绿盟科技）"/>
    <w:basedOn w:val="292"/>
    <w:next w:val="292"/>
    <w:qFormat/>
    <w:uiPriority w:val="0"/>
    <w:pPr>
      <w:pBdr>
        <w:top w:val="single" w:color="auto" w:sz="4" w:space="1"/>
        <w:bottom w:val="single" w:color="auto" w:sz="4" w:space="1"/>
      </w:pBdr>
      <w:shd w:val="clear" w:color="auto" w:fill="E6E6E6"/>
      <w:ind w:firstLine="420"/>
    </w:pPr>
  </w:style>
  <w:style w:type="paragraph" w:customStyle="1" w:styleId="299">
    <w:name w:val="附录1"/>
    <w:basedOn w:val="1"/>
    <w:next w:val="1"/>
    <w:semiHidden/>
    <w:qFormat/>
    <w:locked/>
    <w:uiPriority w:val="0"/>
    <w:pPr>
      <w:spacing w:after="160"/>
      <w:jc w:val="left"/>
      <w:outlineLvl w:val="0"/>
    </w:pPr>
    <w:rPr>
      <w:rFonts w:ascii="黑体" w:hAnsi="黑体" w:eastAsia="黑体"/>
      <w:b/>
      <w:bCs/>
      <w:sz w:val="44"/>
      <w:szCs w:val="24"/>
    </w:rPr>
  </w:style>
  <w:style w:type="paragraph" w:customStyle="1" w:styleId="300">
    <w:name w:val="页脚页码（绿盟科技）"/>
    <w:basedOn w:val="52"/>
    <w:qFormat/>
    <w:uiPriority w:val="0"/>
  </w:style>
  <w:style w:type="paragraph" w:customStyle="1" w:styleId="301">
    <w:name w:val="文档属性（绿盟科技）"/>
    <w:basedOn w:val="302"/>
    <w:qFormat/>
    <w:uiPriority w:val="0"/>
    <w:pPr>
      <w:ind w:left="50" w:leftChars="50"/>
    </w:pPr>
    <w:rPr>
      <w:b w:val="0"/>
    </w:rPr>
  </w:style>
  <w:style w:type="paragraph" w:customStyle="1" w:styleId="302">
    <w:name w:val="文档属性标题（绿盟科技）"/>
    <w:basedOn w:val="255"/>
    <w:qFormat/>
    <w:uiPriority w:val="0"/>
    <w:pPr>
      <w:framePr w:hSpace="180" w:wrap="around" w:vAnchor="text" w:hAnchor="margin" w:xAlign="inside" w:y="121"/>
    </w:pPr>
    <w:rPr>
      <w:b/>
      <w:sz w:val="18"/>
    </w:rPr>
  </w:style>
  <w:style w:type="paragraph" w:customStyle="1" w:styleId="303">
    <w:name w:val="标题 3（绿盟科技）"/>
    <w:basedOn w:val="5"/>
    <w:next w:val="255"/>
    <w:qFormat/>
    <w:uiPriority w:val="0"/>
    <w:pPr>
      <w:widowControl w:val="0"/>
      <w:tabs>
        <w:tab w:val="left" w:pos="960"/>
      </w:tabs>
      <w:spacing w:line="415" w:lineRule="auto"/>
    </w:pPr>
    <w:rPr>
      <w:bCs/>
      <w:szCs w:val="30"/>
    </w:rPr>
  </w:style>
  <w:style w:type="paragraph" w:customStyle="1" w:styleId="304">
    <w:name w:val="附录3（绿盟科技）"/>
    <w:basedOn w:val="305"/>
    <w:next w:val="255"/>
    <w:qFormat/>
    <w:uiPriority w:val="0"/>
    <w:pPr>
      <w:numPr>
        <w:ilvl w:val="2"/>
        <w:numId w:val="13"/>
      </w:numPr>
      <w:tabs>
        <w:tab w:val="left" w:pos="360"/>
        <w:tab w:val="left" w:pos="851"/>
      </w:tabs>
      <w:spacing w:beforeLines="50" w:afterLines="50"/>
    </w:pPr>
    <w:rPr>
      <w:bCs w:val="0"/>
    </w:rPr>
  </w:style>
  <w:style w:type="paragraph" w:customStyle="1" w:styleId="305">
    <w:name w:val="附录3"/>
    <w:basedOn w:val="1"/>
    <w:next w:val="1"/>
    <w:semiHidden/>
    <w:qFormat/>
    <w:locked/>
    <w:uiPriority w:val="0"/>
    <w:pPr>
      <w:spacing w:after="160"/>
      <w:jc w:val="left"/>
      <w:outlineLvl w:val="2"/>
    </w:pPr>
    <w:rPr>
      <w:rFonts w:eastAsia="黑体"/>
      <w:b/>
      <w:bCs/>
      <w:szCs w:val="24"/>
    </w:rPr>
  </w:style>
  <w:style w:type="paragraph" w:customStyle="1" w:styleId="306">
    <w:name w:val="标题 2（绿盟科技）"/>
    <w:basedOn w:val="4"/>
    <w:next w:val="255"/>
    <w:qFormat/>
    <w:uiPriority w:val="0"/>
    <w:pPr>
      <w:widowControl/>
      <w:spacing w:before="40" w:after="0" w:line="415" w:lineRule="auto"/>
      <w:jc w:val="left"/>
    </w:pPr>
    <w:rPr>
      <w:rFonts w:ascii="等线 Light" w:hAnsi="等线 Light" w:eastAsia="等线 Light"/>
      <w:b w:val="0"/>
      <w:bCs w:val="0"/>
      <w:color w:val="2F5496"/>
      <w:kern w:val="0"/>
      <w:sz w:val="28"/>
    </w:rPr>
  </w:style>
  <w:style w:type="paragraph" w:customStyle="1" w:styleId="307">
    <w:name w:val="标题 0（绿盟科技）"/>
    <w:basedOn w:val="78"/>
    <w:qFormat/>
    <w:uiPriority w:val="0"/>
    <w:pPr>
      <w:keepNext/>
      <w:keepLines/>
      <w:spacing w:before="0" w:after="0"/>
      <w:contextualSpacing/>
      <w:jc w:val="left"/>
      <w:outlineLvl w:val="9"/>
    </w:pPr>
    <w:rPr>
      <w:rFonts w:ascii="等线 Light" w:hAnsi="等线 Light" w:eastAsia="等线 Light"/>
      <w:b w:val="0"/>
      <w:spacing w:val="-10"/>
      <w:kern w:val="0"/>
      <w:sz w:val="56"/>
      <w:szCs w:val="56"/>
    </w:rPr>
  </w:style>
  <w:style w:type="paragraph" w:customStyle="1" w:styleId="308">
    <w:name w:val="正文左侧缩进（绿盟科技）"/>
    <w:basedOn w:val="255"/>
    <w:qFormat/>
    <w:uiPriority w:val="0"/>
    <w:pPr>
      <w:spacing w:after="50"/>
      <w:ind w:left="200" w:leftChars="200"/>
    </w:pPr>
  </w:style>
  <w:style w:type="paragraph" w:customStyle="1" w:styleId="309">
    <w:name w:val="样式 绿盟科技--列表（编号一级） + 段后: 0.5 行"/>
    <w:basedOn w:val="296"/>
    <w:semiHidden/>
    <w:qFormat/>
    <w:uiPriority w:val="0"/>
    <w:pPr>
      <w:spacing w:before="25"/>
    </w:pPr>
    <w:rPr>
      <w:rFonts w:cs="宋体"/>
      <w:szCs w:val="20"/>
    </w:rPr>
  </w:style>
  <w:style w:type="paragraph" w:customStyle="1" w:styleId="310">
    <w:name w:val="附录2（绿盟科技）"/>
    <w:basedOn w:val="311"/>
    <w:next w:val="255"/>
    <w:qFormat/>
    <w:uiPriority w:val="0"/>
    <w:pPr>
      <w:numPr>
        <w:ilvl w:val="1"/>
        <w:numId w:val="13"/>
      </w:numPr>
      <w:tabs>
        <w:tab w:val="left" w:pos="360"/>
        <w:tab w:val="left" w:pos="624"/>
      </w:tabs>
      <w:spacing w:beforeLines="50" w:afterLines="50"/>
    </w:pPr>
    <w:rPr>
      <w:bCs w:val="0"/>
    </w:rPr>
  </w:style>
  <w:style w:type="paragraph" w:customStyle="1" w:styleId="311">
    <w:name w:val="附录2"/>
    <w:basedOn w:val="1"/>
    <w:next w:val="1"/>
    <w:semiHidden/>
    <w:qFormat/>
    <w:locked/>
    <w:uiPriority w:val="0"/>
    <w:pPr>
      <w:spacing w:after="160"/>
      <w:jc w:val="left"/>
      <w:outlineLvl w:val="1"/>
    </w:pPr>
    <w:rPr>
      <w:rFonts w:ascii="黑体" w:hAnsi="黑体" w:eastAsia="黑体"/>
      <w:b/>
      <w:bCs/>
      <w:szCs w:val="24"/>
    </w:rPr>
  </w:style>
  <w:style w:type="paragraph" w:customStyle="1" w:styleId="312">
    <w:name w:val="标题 1（绿盟科技）"/>
    <w:basedOn w:val="3"/>
    <w:next w:val="255"/>
    <w:qFormat/>
    <w:uiPriority w:val="0"/>
    <w:pPr>
      <w:keepNext/>
      <w:keepLines/>
      <w:spacing w:before="240" w:beforeAutospacing="0" w:after="0" w:afterAutospacing="0" w:line="576" w:lineRule="auto"/>
    </w:pPr>
    <w:rPr>
      <w:rFonts w:hint="default" w:ascii="等线 Light" w:hAnsi="等线 Light" w:eastAsia="等线 Light"/>
      <w:b w:val="0"/>
      <w:color w:val="2F5496"/>
      <w:kern w:val="0"/>
      <w:sz w:val="32"/>
      <w:szCs w:val="32"/>
    </w:rPr>
  </w:style>
  <w:style w:type="paragraph" w:customStyle="1" w:styleId="313">
    <w:name w:val="变更与声明内容（绿盟科技）"/>
    <w:basedOn w:val="254"/>
    <w:qFormat/>
    <w:uiPriority w:val="0"/>
    <w:rPr>
      <w:b w:val="0"/>
    </w:rPr>
  </w:style>
  <w:style w:type="paragraph" w:customStyle="1" w:styleId="314">
    <w:name w:val="列表符号项目级别1"/>
    <w:basedOn w:val="1"/>
    <w:qFormat/>
    <w:uiPriority w:val="0"/>
    <w:pPr>
      <w:widowControl/>
      <w:numPr>
        <w:ilvl w:val="0"/>
        <w:numId w:val="14"/>
      </w:numPr>
      <w:spacing w:after="160" w:line="360" w:lineRule="auto"/>
      <w:jc w:val="left"/>
    </w:pPr>
    <w:rPr>
      <w:rFonts w:ascii="等线" w:hAnsi="等线"/>
      <w:kern w:val="0"/>
      <w:szCs w:val="24"/>
    </w:rPr>
  </w:style>
  <w:style w:type="paragraph" w:customStyle="1" w:styleId="315">
    <w:name w:val="标题 5（无编号）（绿盟科技）"/>
    <w:basedOn w:val="7"/>
    <w:next w:val="255"/>
    <w:qFormat/>
    <w:uiPriority w:val="0"/>
    <w:pPr>
      <w:widowControl w:val="0"/>
    </w:pPr>
    <w:rPr>
      <w:bCs/>
    </w:rPr>
  </w:style>
  <w:style w:type="paragraph" w:customStyle="1" w:styleId="316">
    <w:name w:val="列表（符号二级）（绿盟科技）"/>
    <w:basedOn w:val="291"/>
    <w:qFormat/>
    <w:uiPriority w:val="0"/>
    <w:pPr>
      <w:numPr>
        <w:ilvl w:val="1"/>
        <w:numId w:val="11"/>
      </w:numPr>
      <w:ind w:left="1260"/>
    </w:pPr>
  </w:style>
  <w:style w:type="paragraph" w:customStyle="1" w:styleId="317">
    <w:name w:val="四级条标题"/>
    <w:basedOn w:val="318"/>
    <w:next w:val="1"/>
    <w:qFormat/>
    <w:uiPriority w:val="0"/>
    <w:pPr>
      <w:outlineLvl w:val="5"/>
    </w:pPr>
  </w:style>
  <w:style w:type="paragraph" w:customStyle="1" w:styleId="318">
    <w:name w:val="三级条标题"/>
    <w:basedOn w:val="289"/>
    <w:next w:val="1"/>
    <w:qFormat/>
    <w:uiPriority w:val="0"/>
    <w:pPr>
      <w:outlineLvl w:val="4"/>
    </w:pPr>
  </w:style>
  <w:style w:type="paragraph" w:customStyle="1" w:styleId="319">
    <w:name w:val="样式 绿盟科技--列表（符号二级） + 段后: 6 磅"/>
    <w:basedOn w:val="316"/>
    <w:semiHidden/>
    <w:qFormat/>
    <w:uiPriority w:val="0"/>
    <w:rPr>
      <w:rFonts w:cs="宋体"/>
      <w:szCs w:val="20"/>
    </w:rPr>
  </w:style>
  <w:style w:type="paragraph" w:customStyle="1" w:styleId="320">
    <w:name w:val="目录（绿盟科技）"/>
    <w:basedOn w:val="255"/>
    <w:qFormat/>
    <w:uiPriority w:val="0"/>
    <w:pPr>
      <w:spacing w:after="156"/>
      <w:jc w:val="center"/>
    </w:pPr>
    <w:rPr>
      <w:rFonts w:eastAsia="黑体"/>
      <w:b/>
      <w:sz w:val="44"/>
    </w:rPr>
  </w:style>
  <w:style w:type="paragraph" w:customStyle="1" w:styleId="321">
    <w:name w:val="标题 5（有编号）（绿盟科技）"/>
    <w:basedOn w:val="315"/>
    <w:next w:val="255"/>
    <w:qFormat/>
    <w:uiPriority w:val="0"/>
  </w:style>
  <w:style w:type="paragraph" w:customStyle="1" w:styleId="322">
    <w:name w:val="目录 3（绿盟科技）"/>
    <w:basedOn w:val="42"/>
    <w:qFormat/>
    <w:uiPriority w:val="0"/>
  </w:style>
  <w:style w:type="paragraph" w:customStyle="1" w:styleId="323">
    <w:name w:val="Char Char Char Char Char Char Char Char Char Char Char Char Char Char Char Char"/>
    <w:basedOn w:val="1"/>
    <w:qFormat/>
    <w:uiPriority w:val="0"/>
    <w:pPr>
      <w:tabs>
        <w:tab w:val="left" w:pos="360"/>
      </w:tabs>
      <w:spacing w:after="160"/>
      <w:jc w:val="left"/>
    </w:pPr>
    <w:rPr>
      <w:rFonts w:eastAsia="等线"/>
      <w:sz w:val="24"/>
      <w:szCs w:val="24"/>
    </w:rPr>
  </w:style>
  <w:style w:type="paragraph" w:customStyle="1" w:styleId="324">
    <w:name w:val="前言、引言标题"/>
    <w:next w:val="1"/>
    <w:qFormat/>
    <w:uiPriority w:val="0"/>
    <w:pPr>
      <w:shd w:val="clear" w:color="FFFFFF" w:fill="FFFFFF"/>
      <w:spacing w:before="640" w:after="560" w:line="259" w:lineRule="auto"/>
      <w:jc w:val="center"/>
      <w:outlineLvl w:val="0"/>
    </w:pPr>
    <w:rPr>
      <w:rFonts w:ascii="黑体" w:hAnsi="Times New Roman" w:eastAsia="黑体" w:cs="Times New Roman"/>
      <w:sz w:val="32"/>
      <w:szCs w:val="22"/>
      <w:lang w:val="en-US" w:eastAsia="zh-CN" w:bidi="ar-SA"/>
    </w:rPr>
  </w:style>
  <w:style w:type="paragraph" w:customStyle="1" w:styleId="325">
    <w:name w:val="目录 2（绿盟科技）"/>
    <w:basedOn w:val="69"/>
    <w:qFormat/>
    <w:uiPriority w:val="0"/>
    <w:pPr>
      <w:widowControl/>
      <w:tabs>
        <w:tab w:val="left" w:pos="840"/>
        <w:tab w:val="right" w:leader="dot" w:pos="8494"/>
      </w:tabs>
      <w:spacing w:after="156" w:line="259" w:lineRule="auto"/>
      <w:ind w:left="210" w:leftChars="0"/>
      <w:jc w:val="left"/>
    </w:pPr>
    <w:rPr>
      <w:rFonts w:ascii="Calibri" w:hAnsi="Calibri" w:eastAsia="等线"/>
      <w:smallCaps/>
      <w:kern w:val="0"/>
      <w:sz w:val="20"/>
    </w:rPr>
  </w:style>
  <w:style w:type="paragraph" w:customStyle="1" w:styleId="326">
    <w:name w:val="目录 1（绿盟科技）"/>
    <w:basedOn w:val="56"/>
    <w:qFormat/>
    <w:uiPriority w:val="0"/>
    <w:pPr>
      <w:widowControl/>
      <w:tabs>
        <w:tab w:val="left" w:pos="630"/>
        <w:tab w:val="right" w:leader="dot" w:pos="8494"/>
      </w:tabs>
      <w:spacing w:before="120" w:after="156" w:line="259" w:lineRule="auto"/>
      <w:jc w:val="left"/>
    </w:pPr>
    <w:rPr>
      <w:rFonts w:ascii="Calibri" w:hAnsi="Calibri" w:eastAsia="等线"/>
      <w:bCs/>
      <w:caps/>
      <w:kern w:val="0"/>
      <w:sz w:val="20"/>
    </w:rPr>
  </w:style>
  <w:style w:type="paragraph" w:customStyle="1" w:styleId="327">
    <w:name w:val="标题 4（绿盟科技）"/>
    <w:basedOn w:val="6"/>
    <w:next w:val="255"/>
    <w:qFormat/>
    <w:uiPriority w:val="0"/>
    <w:pPr>
      <w:spacing w:after="156"/>
    </w:pPr>
    <w:rPr>
      <w:bCs/>
    </w:rPr>
  </w:style>
  <w:style w:type="paragraph" w:customStyle="1" w:styleId="328">
    <w:name w:val="附录1（绿盟科技）"/>
    <w:basedOn w:val="299"/>
    <w:next w:val="255"/>
    <w:qFormat/>
    <w:uiPriority w:val="0"/>
    <w:pPr>
      <w:keepNext/>
      <w:keepLines/>
      <w:numPr>
        <w:ilvl w:val="0"/>
        <w:numId w:val="13"/>
      </w:numPr>
      <w:tabs>
        <w:tab w:val="left" w:pos="1304"/>
      </w:tabs>
      <w:spacing w:before="480" w:afterLines="100"/>
    </w:pPr>
    <w:rPr>
      <w:bCs w:val="0"/>
    </w:rPr>
  </w:style>
  <w:style w:type="paragraph" w:customStyle="1" w:styleId="329">
    <w:name w:val="标题 6（有编号）（绿盟科技）"/>
    <w:basedOn w:val="330"/>
    <w:next w:val="255"/>
    <w:qFormat/>
    <w:uiPriority w:val="0"/>
  </w:style>
  <w:style w:type="paragraph" w:customStyle="1" w:styleId="330">
    <w:name w:val="标题 6（无编号）（绿盟科技）"/>
    <w:basedOn w:val="8"/>
    <w:next w:val="255"/>
    <w:qFormat/>
    <w:uiPriority w:val="0"/>
    <w:pPr>
      <w:widowControl w:val="0"/>
      <w:spacing w:line="319" w:lineRule="auto"/>
    </w:pPr>
    <w:rPr>
      <w:bCs/>
    </w:rPr>
  </w:style>
  <w:style w:type="paragraph" w:customStyle="1" w:styleId="331">
    <w:name w:val="附录图标题"/>
    <w:next w:val="1"/>
    <w:qFormat/>
    <w:uiPriority w:val="0"/>
    <w:pPr>
      <w:numPr>
        <w:ilvl w:val="0"/>
        <w:numId w:val="15"/>
      </w:numPr>
      <w:tabs>
        <w:tab w:val="left" w:pos="360"/>
      </w:tabs>
      <w:spacing w:after="160" w:line="259" w:lineRule="auto"/>
      <w:jc w:val="center"/>
    </w:pPr>
    <w:rPr>
      <w:rFonts w:ascii="黑体" w:hAnsi="Times New Roman" w:eastAsia="黑体" w:cs="Times New Roman"/>
      <w:sz w:val="21"/>
      <w:szCs w:val="22"/>
      <w:lang w:val="en-US" w:eastAsia="zh-CN" w:bidi="ar-SA"/>
    </w:rPr>
  </w:style>
  <w:style w:type="paragraph" w:customStyle="1" w:styleId="332">
    <w:name w:val="附录4"/>
    <w:basedOn w:val="1"/>
    <w:next w:val="1"/>
    <w:semiHidden/>
    <w:qFormat/>
    <w:locked/>
    <w:uiPriority w:val="0"/>
    <w:pPr>
      <w:widowControl/>
      <w:spacing w:after="160" w:line="259" w:lineRule="auto"/>
      <w:jc w:val="left"/>
      <w:outlineLvl w:val="3"/>
    </w:pPr>
    <w:rPr>
      <w:rFonts w:ascii="等线" w:hAnsi="等线" w:eastAsia="黑体"/>
      <w:kern w:val="0"/>
      <w:sz w:val="28"/>
      <w:szCs w:val="22"/>
    </w:rPr>
  </w:style>
  <w:style w:type="paragraph" w:customStyle="1" w:styleId="333">
    <w:name w:val="正文两侧缩进（绿盟科技）"/>
    <w:basedOn w:val="255"/>
    <w:qFormat/>
    <w:uiPriority w:val="0"/>
    <w:pPr>
      <w:spacing w:after="50"/>
      <w:ind w:left="200" w:leftChars="200" w:right="200" w:rightChars="200"/>
    </w:pPr>
  </w:style>
  <w:style w:type="paragraph" w:customStyle="1" w:styleId="334">
    <w:name w:val="附录4（绿盟科技）"/>
    <w:basedOn w:val="332"/>
    <w:next w:val="255"/>
    <w:qFormat/>
    <w:uiPriority w:val="0"/>
    <w:pPr>
      <w:numPr>
        <w:ilvl w:val="3"/>
        <w:numId w:val="13"/>
      </w:numPr>
      <w:tabs>
        <w:tab w:val="left" w:pos="360"/>
        <w:tab w:val="left" w:pos="1134"/>
      </w:tabs>
      <w:spacing w:beforeLines="50" w:afterLines="50"/>
    </w:pPr>
    <w:rPr>
      <w:szCs w:val="28"/>
    </w:rPr>
  </w:style>
  <w:style w:type="paragraph" w:customStyle="1" w:styleId="335">
    <w:name w:val="图表题注"/>
    <w:basedOn w:val="21"/>
    <w:semiHidden/>
    <w:qFormat/>
    <w:locked/>
    <w:uiPriority w:val="0"/>
  </w:style>
  <w:style w:type="paragraph" w:customStyle="1" w:styleId="336">
    <w:name w:val="封面版权声明（绿盟科技）"/>
    <w:basedOn w:val="302"/>
    <w:qFormat/>
    <w:uiPriority w:val="0"/>
    <w:pPr>
      <w:jc w:val="right"/>
    </w:pPr>
  </w:style>
  <w:style w:type="paragraph" w:customStyle="1" w:styleId="337">
    <w:name w:val="章标题"/>
    <w:next w:val="1"/>
    <w:qFormat/>
    <w:uiPriority w:val="0"/>
    <w:pPr>
      <w:spacing w:beforeLines="50" w:after="160" w:afterLines="50" w:line="259" w:lineRule="auto"/>
      <w:jc w:val="both"/>
      <w:outlineLvl w:val="1"/>
    </w:pPr>
    <w:rPr>
      <w:rFonts w:ascii="黑体" w:hAnsi="Times New Roman" w:eastAsia="黑体" w:cs="Times New Roman"/>
      <w:sz w:val="21"/>
      <w:szCs w:val="22"/>
      <w:lang w:val="en-US" w:eastAsia="zh-CN" w:bidi="ar-SA"/>
    </w:rPr>
  </w:style>
  <w:style w:type="paragraph" w:customStyle="1" w:styleId="338">
    <w:name w:val="_Style 268"/>
    <w:basedOn w:val="1"/>
    <w:next w:val="174"/>
    <w:qFormat/>
    <w:uiPriority w:val="34"/>
    <w:pPr>
      <w:spacing w:after="160"/>
      <w:ind w:firstLine="420" w:firstLineChars="200"/>
      <w:jc w:val="left"/>
    </w:pPr>
    <w:rPr>
      <w:rFonts w:eastAsia="等线"/>
      <w:sz w:val="22"/>
      <w:szCs w:val="22"/>
    </w:rPr>
  </w:style>
  <w:style w:type="paragraph" w:customStyle="1" w:styleId="339">
    <w:name w:val="文本段落强调（绿盟科技）"/>
    <w:basedOn w:val="292"/>
    <w:next w:val="292"/>
    <w:qFormat/>
    <w:uiPriority w:val="0"/>
    <w:rPr>
      <w:b/>
      <w:u w:val="single"/>
    </w:rPr>
  </w:style>
  <w:style w:type="table" w:customStyle="1" w:styleId="340">
    <w:name w:val="表格（版本变更记录）（绿盟科技）"/>
    <w:basedOn w:val="82"/>
    <w:qFormat/>
    <w:uiPriority w:val="0"/>
    <w:pPr>
      <w:ind w:left="50" w:leftChars="50" w:right="50" w:rightChars="50"/>
    </w:pPr>
    <w:rPr>
      <w:rFonts w:ascii="Arial" w:hAnsi="Arial"/>
      <w:sz w:val="18"/>
    </w:rPr>
    <w:tblPr>
      <w:tblBorders>
        <w:top w:val="single" w:color="000000" w:sz="12" w:space="0"/>
        <w:bottom w:val="single" w:color="000000" w:sz="12" w:space="0"/>
        <w:insideH w:val="single" w:color="000000" w:sz="6" w:space="0"/>
      </w:tblBorders>
      <w:tblCellMar>
        <w:left w:w="0" w:type="dxa"/>
        <w:right w:w="0" w:type="dxa"/>
      </w:tblCellMar>
    </w:tblPr>
  </w:style>
  <w:style w:type="table" w:customStyle="1" w:styleId="341">
    <w:name w:val="表格（适用性声明）（绿盟科技）"/>
    <w:basedOn w:val="340"/>
    <w:qFormat/>
    <w:uiPriority w:val="0"/>
  </w:style>
  <w:style w:type="table" w:customStyle="1" w:styleId="342">
    <w:name w:val="文档表格标题行列型（绿盟科技）"/>
    <w:basedOn w:val="83"/>
    <w:qFormat/>
    <w:uiPriority w:val="0"/>
    <w:pPr>
      <w:widowControl/>
      <w:spacing w:line="300" w:lineRule="auto"/>
      <w:jc w:val="left"/>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等线 Light" w:hAnsi="等线 Light" w:eastAsia="Courier New"/>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b/>
      </w:rPr>
      <w:tcPr>
        <w:shd w:val="clear" w:color="auto" w:fill="E6E6E6"/>
      </w:tcPr>
    </w:tblStylePr>
  </w:style>
  <w:style w:type="table" w:customStyle="1" w:styleId="343">
    <w:name w:val="文档表格无标题行型（绿盟科技）"/>
    <w:basedOn w:val="83"/>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wordWrap/>
        <w:jc w:val="left"/>
      </w:pPr>
      <w:rPr>
        <w:rFonts w:ascii="等线 Light" w:hAnsi="等线 Light" w:eastAsia="Courier New"/>
        <w:b w:val="0"/>
        <w:i w:val="0"/>
      </w:rPr>
    </w:tblStylePr>
    <w:tblStylePr w:type="firstCol">
      <w:rPr>
        <w:b/>
      </w:rPr>
      <w:tcPr>
        <w:shd w:val="clear" w:color="auto" w:fill="E6E6E6"/>
      </w:tcPr>
    </w:tblStylePr>
    <w:tblStylePr w:type="nwCell">
      <w:rPr>
        <w:b/>
      </w:rPr>
    </w:tblStylePr>
  </w:style>
  <w:style w:type="table" w:customStyle="1" w:styleId="344">
    <w:name w:val="文档表格无标题列型（绿盟科技）"/>
    <w:basedOn w:val="83"/>
    <w:qFormat/>
    <w:uiPriority w:val="0"/>
    <w:pPr>
      <w:widowControl/>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等线 Light" w:hAnsi="等线 Light" w:eastAsia="Courier New"/>
        <w:b/>
        <w:i w:val="0"/>
      </w:rPr>
      <w:tcPr>
        <w:tcBorders>
          <w:top w:val="double" w:color="auto" w:sz="4" w:space="0"/>
          <w:left w:val="double" w:color="auto" w:sz="4" w:space="0"/>
          <w:bottom w:val="nil"/>
          <w:right w:val="double" w:color="auto" w:sz="4" w:space="0"/>
          <w:insideH w:val="nil"/>
          <w:insideV w:val="single" w:sz="6" w:space="0"/>
          <w:tl2br w:val="nil"/>
          <w:tr2bl w:val="nil"/>
        </w:tcBorders>
        <w:shd w:val="clear" w:color="auto" w:fill="D9D9D9"/>
        <w:vAlign w:val="center"/>
      </w:tcPr>
    </w:tblStylePr>
    <w:tblStylePr w:type="firstCol">
      <w:rPr>
        <w:rFonts w:ascii="等线 Light" w:hAnsi="等线 Light" w:eastAsia="Courier New"/>
        <w:b w:val="0"/>
        <w:i w:val="0"/>
        <w:sz w:val="21"/>
      </w:rPr>
    </w:tblStylePr>
  </w:style>
  <w:style w:type="character" w:customStyle="1" w:styleId="345">
    <w:name w:val="正文首行缩进 Char"/>
    <w:basedOn w:val="147"/>
    <w:link w:val="80"/>
    <w:qFormat/>
    <w:uiPriority w:val="0"/>
    <w:rPr>
      <w:rFonts w:eastAsia="仿宋_GB2312"/>
      <w:sz w:val="32"/>
    </w:rPr>
  </w:style>
  <w:style w:type="character" w:customStyle="1" w:styleId="346">
    <w:name w:val="正文首行缩进 2 Char"/>
    <w:basedOn w:val="148"/>
    <w:link w:val="81"/>
    <w:qFormat/>
    <w:uiPriority w:val="0"/>
  </w:style>
  <w:style w:type="paragraph" w:customStyle="1" w:styleId="347">
    <w:name w:val="普通(网站) Char"/>
    <w:basedOn w:val="1"/>
    <w:qFormat/>
    <w:uiPriority w:val="0"/>
    <w:pPr>
      <w:spacing w:beforeAutospacing="1" w:afterAutospacing="1"/>
      <w:jc w:val="left"/>
    </w:pPr>
    <w:rPr>
      <w:rFonts w:hint="eastAsia" w:ascii="宋体" w:hAnsi="宋体" w:eastAsia="宋体"/>
      <w:kern w:val="0"/>
      <w:sz w:val="24"/>
      <w:szCs w:val="24"/>
    </w:rPr>
  </w:style>
  <w:style w:type="table" w:customStyle="1" w:styleId="348">
    <w:name w:val="网格型4"/>
    <w:basedOn w:val="82"/>
    <w:qFormat/>
    <w:uiPriority w:val="59"/>
    <w:rPr>
      <w:rFonts w:eastAsia="宋体"/>
      <w:kern w:val="2"/>
      <w:sz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F:\home\xzxc\C:\Documents%20and%20Settings\Administrator\Application%20Data\gwb\gwb1.gw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gwb1.gwb</Template>
  <Pages>46</Pages>
  <Words>4564</Words>
  <Characters>26017</Characters>
  <Lines>216</Lines>
  <Paragraphs>61</Paragraphs>
  <TotalTime>2</TotalTime>
  <ScaleCrop>false</ScaleCrop>
  <LinksUpToDate>false</LinksUpToDate>
  <CharactersWithSpaces>30520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2023-07-01T00:37:00Z</dcterms:created>
  <dc:creator>康良华</dc:creator>
  <cp:lastModifiedBy>洱海渔夫</cp:lastModifiedBy>
  <cp:lastPrinted>2023-07-11T19:49:00Z</cp:lastPrinted>
  <dcterms:modified xsi:type="dcterms:W3CDTF">2025-05-23T11:35:07Z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2B51E7DF9E2F4DEE85A16FD64EF60CDD_13</vt:lpwstr>
  </property>
  <property fmtid="{D5CDD505-2E9C-101B-9397-08002B2CF9AE}" pid="4" name="KSOSaveFontToCloudKey">
    <vt:lpwstr>1042589663_cloud</vt:lpwstr>
  </property>
</Properties>
</file>